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970779978"/>
        <w:docPartObj>
          <w:docPartGallery w:val="Cover Pages"/>
          <w:docPartUnique/>
        </w:docPartObj>
      </w:sdtPr>
      <w:sdtEndPr>
        <w:rPr>
          <w:rFonts w:ascii="Arial Narrow" w:eastAsiaTheme="minorHAnsi" w:hAnsi="Arial Narrow" w:cstheme="minorBidi"/>
          <w:caps w:val="0"/>
          <w:sz w:val="24"/>
          <w:szCs w:val="24"/>
          <w:lang w:val="es-E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838"/>
          </w:tblGrid>
          <w:tr w:rsidR="00D57022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lang w:eastAsia="en-US"/>
                </w:rPr>
                <w:alias w:val="Compañía"/>
                <w:id w:val="15524243"/>
                <w:placeholder>
                  <w:docPart w:val="AD0D75F3215C4DC5BB513293D64E40C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eastAsia="es-CO"/>
                </w:rPr>
              </w:sdtEndPr>
              <w:sdtContent>
                <w:tc>
                  <w:tcPr>
                    <w:tcW w:w="5000" w:type="pct"/>
                  </w:tcPr>
                  <w:p w:rsidR="00D57022" w:rsidRDefault="00D57022" w:rsidP="00D57022">
                    <w:pPr>
                      <w:pStyle w:val="Sinespaciado"/>
                      <w:jc w:val="both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Instituto colombia</w:t>
                    </w:r>
                    <w:r w:rsidR="007E2EAD">
                      <w:rPr>
                        <w:rFonts w:asciiTheme="majorHAnsi" w:eastAsiaTheme="majorEastAsia" w:hAnsiTheme="majorHAnsi" w:cstheme="majorBidi"/>
                        <w:caps/>
                      </w:rPr>
                      <w:t>N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o de h</w:t>
                    </w:r>
                    <w:r w:rsidR="00CE25A7">
                      <w:rPr>
                        <w:rFonts w:asciiTheme="majorHAnsi" w:eastAsiaTheme="majorEastAsia" w:hAnsiTheme="majorHAnsi" w:cstheme="majorBidi"/>
                        <w:caps/>
                      </w:rPr>
                      <w:t>I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drología</w:t>
                    </w:r>
                    <w:r w:rsidR="00287C85">
                      <w:rPr>
                        <w:rFonts w:asciiTheme="majorHAnsi" w:eastAsiaTheme="majorEastAsia" w:hAnsiTheme="majorHAnsi" w:cstheme="majorBidi"/>
                        <w:caps/>
                      </w:rPr>
                      <w:t>, meteorología y estudios ambieN</w:t>
                    </w: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tales -IDEAM</w:t>
                    </w:r>
                  </w:p>
                </w:tc>
              </w:sdtContent>
            </w:sdt>
          </w:tr>
          <w:tr w:rsidR="00D57022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80"/>
                </w:rPr>
                <w:alias w:val="Título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D57022" w:rsidRDefault="00D57022" w:rsidP="00D57022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5726CE">
                      <w:rPr>
                        <w:rFonts w:asciiTheme="majorHAnsi" w:eastAsiaTheme="majorEastAsia" w:hAnsiTheme="majorHAnsi" w:cstheme="majorBidi"/>
                        <w:sz w:val="72"/>
                        <w:szCs w:val="80"/>
                      </w:rPr>
                      <w:t>CRITERIOS PARA LA SELECCIÓN DE ABOGADOS EXTERNOS</w:t>
                    </w:r>
                    <w:r w:rsidR="00285F71" w:rsidRPr="005726CE">
                      <w:rPr>
                        <w:rFonts w:asciiTheme="majorHAnsi" w:eastAsiaTheme="majorEastAsia" w:hAnsiTheme="majorHAnsi" w:cstheme="majorBidi"/>
                        <w:sz w:val="72"/>
                        <w:szCs w:val="80"/>
                      </w:rPr>
                      <w:t xml:space="preserve"> V. 2</w:t>
                    </w:r>
                  </w:p>
                </w:tc>
              </w:sdtContent>
            </w:sdt>
          </w:tr>
          <w:tr w:rsidR="00D57022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D57022" w:rsidRDefault="00D57022" w:rsidP="0009273F">
                    <w:pPr>
                      <w:pStyle w:val="Sinespaciad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COMITÉ TÉCNICO DE CONCILIACIÓN</w:t>
                    </w:r>
                  </w:p>
                </w:tc>
              </w:sdtContent>
            </w:sdt>
          </w:tr>
          <w:tr w:rsidR="00D57022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D57022" w:rsidRDefault="00D57022" w:rsidP="00D57022">
                <w:pPr>
                  <w:pStyle w:val="Sinespaciado"/>
                  <w:jc w:val="both"/>
                </w:pPr>
              </w:p>
            </w:tc>
          </w:tr>
          <w:tr w:rsidR="00D5702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57022" w:rsidRDefault="00D57022" w:rsidP="00D57022">
                    <w:pPr>
                      <w:pStyle w:val="Sinespaciado"/>
                      <w:jc w:val="both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Oficina Asesora Jurídica</w:t>
                    </w:r>
                  </w:p>
                </w:tc>
              </w:sdtContent>
            </w:sdt>
          </w:tr>
          <w:tr w:rsidR="00D57022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echa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7-12-19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D57022" w:rsidRDefault="00A577B2" w:rsidP="00D57022">
                    <w:pPr>
                      <w:pStyle w:val="Sinespaciado"/>
                      <w:jc w:val="both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-ES"/>
                      </w:rPr>
                      <w:t>19/12/2017</w:t>
                    </w:r>
                  </w:p>
                </w:tc>
              </w:sdtContent>
            </w:sdt>
          </w:tr>
        </w:tbl>
        <w:p w:rsidR="00D57022" w:rsidRDefault="00D57022" w:rsidP="00D57022">
          <w:pPr>
            <w:jc w:val="both"/>
          </w:pPr>
        </w:p>
        <w:p w:rsidR="00D57022" w:rsidRDefault="00D57022" w:rsidP="00D57022">
          <w:pPr>
            <w:jc w:val="both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838"/>
          </w:tblGrid>
          <w:tr w:rsidR="00D57022">
            <w:sdt>
              <w:sdtPr>
                <w:alias w:val="Descripción breve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57022" w:rsidRDefault="00D57022" w:rsidP="00CC65F3">
                    <w:pPr>
                      <w:pStyle w:val="Sinespaciado"/>
                      <w:jc w:val="both"/>
                    </w:pPr>
                    <w:r>
                      <w:t xml:space="preserve">El documento contiene el marco de referencia que deberá tenerse en cuenta para la contratación de abogados que prestan sus servicios en el Instituto para la defensa judicial y extrajudicial </w:t>
                    </w:r>
                    <w:r w:rsidR="00CC65F3">
                      <w:t>del IDEAM.</w:t>
                    </w:r>
                  </w:p>
                </w:tc>
              </w:sdtContent>
            </w:sdt>
          </w:tr>
        </w:tbl>
        <w:p w:rsidR="00D57022" w:rsidRDefault="00D57022" w:rsidP="00D57022">
          <w:pPr>
            <w:jc w:val="both"/>
          </w:pPr>
        </w:p>
        <w:p w:rsidR="005726CE" w:rsidRDefault="005726CE" w:rsidP="00D57022">
          <w:pPr>
            <w:jc w:val="both"/>
          </w:pPr>
        </w:p>
        <w:p w:rsidR="005726CE" w:rsidRDefault="005726CE" w:rsidP="00D57022">
          <w:pPr>
            <w:jc w:val="both"/>
          </w:pPr>
        </w:p>
        <w:p w:rsidR="005726CE" w:rsidRDefault="005726CE" w:rsidP="00D57022">
          <w:pPr>
            <w:jc w:val="both"/>
          </w:pPr>
        </w:p>
        <w:p w:rsidR="005726CE" w:rsidRDefault="005726CE" w:rsidP="00D57022">
          <w:pPr>
            <w:jc w:val="both"/>
          </w:pPr>
        </w:p>
        <w:p w:rsidR="005726CE" w:rsidRDefault="005726CE" w:rsidP="00D57022">
          <w:pPr>
            <w:jc w:val="both"/>
          </w:pPr>
        </w:p>
        <w:p w:rsidR="00D57022" w:rsidRDefault="00D57022" w:rsidP="00D57022">
          <w:pPr>
            <w:jc w:val="both"/>
            <w:rPr>
              <w:rFonts w:ascii="Arial Narrow" w:hAnsi="Arial Narrow"/>
              <w:sz w:val="24"/>
              <w:szCs w:val="24"/>
              <w:lang w:val="es-ES"/>
            </w:rPr>
          </w:pPr>
          <w:r>
            <w:rPr>
              <w:rFonts w:ascii="Arial Narrow" w:hAnsi="Arial Narrow"/>
              <w:sz w:val="24"/>
              <w:szCs w:val="24"/>
              <w:lang w:val="es-ES"/>
            </w:rPr>
            <w:br w:type="page"/>
          </w:r>
        </w:p>
      </w:sdtContent>
    </w:sdt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lastRenderedPageBreak/>
        <w:t xml:space="preserve">El numeral 8 del artículo 19 del Decreto 1716 de 2009, establece como función del Comité Técnico de Conciliación de las entidades la gestión de </w:t>
      </w:r>
      <w:r w:rsidRPr="00D57022">
        <w:rPr>
          <w:rFonts w:ascii="Arial Narrow" w:hAnsi="Arial Narrow"/>
          <w:i/>
          <w:sz w:val="24"/>
          <w:szCs w:val="24"/>
          <w:lang w:val="es-ES"/>
        </w:rPr>
        <w:t>“Definir los criterios para la selección de abogados externos que garanticen su idoneidad para la defensa de los intereses públicos y realizar seguimiento sobre los procesos a ellos encomendados.”</w:t>
      </w:r>
    </w:p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C602DF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En cumplimiento de la función asignada por </w:t>
      </w:r>
      <w:r w:rsidR="00D57022">
        <w:rPr>
          <w:rFonts w:ascii="Arial Narrow" w:hAnsi="Arial Narrow"/>
          <w:sz w:val="24"/>
          <w:szCs w:val="24"/>
          <w:lang w:val="es-ES"/>
        </w:rPr>
        <w:t>la norma en cita</w:t>
      </w:r>
      <w:r>
        <w:rPr>
          <w:rFonts w:ascii="Arial Narrow" w:hAnsi="Arial Narrow"/>
          <w:sz w:val="24"/>
          <w:szCs w:val="24"/>
          <w:lang w:val="es-ES"/>
        </w:rPr>
        <w:t xml:space="preserve">, el Comité de Conciliación del Instituto de Hidrología, Meteorología y Estudios Ambientales del IDEAM, procede a fijar los criterios </w:t>
      </w:r>
      <w:r w:rsidRPr="004144E3">
        <w:rPr>
          <w:rFonts w:ascii="Arial Narrow" w:hAnsi="Arial Narrow"/>
          <w:sz w:val="24"/>
          <w:szCs w:val="24"/>
          <w:lang w:val="es-ES"/>
        </w:rPr>
        <w:t xml:space="preserve">para la selección de abogados externos que garanticen su idoneidad para la defensa de los intereses </w:t>
      </w:r>
      <w:r>
        <w:rPr>
          <w:rFonts w:ascii="Arial Narrow" w:hAnsi="Arial Narrow"/>
          <w:sz w:val="24"/>
          <w:szCs w:val="24"/>
          <w:lang w:val="es-ES"/>
        </w:rPr>
        <w:t>de la entidad y al mismo tiempo suprimir en la mayor medida los riesgos que puedan generarse en la dinámica jurídica de la entidad, en los siguientes términos:</w:t>
      </w:r>
    </w:p>
    <w:p w:rsidR="004144E3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4144E3" w:rsidRPr="000E1461" w:rsidRDefault="004144E3" w:rsidP="00D57022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0E1461">
        <w:rPr>
          <w:rFonts w:ascii="Arial Narrow" w:hAnsi="Arial Narrow"/>
          <w:b/>
          <w:sz w:val="24"/>
          <w:szCs w:val="24"/>
          <w:lang w:val="es-ES"/>
        </w:rPr>
        <w:t>NATURALEZA JURÍDICA y OBJETO DEL IDEAM</w:t>
      </w:r>
    </w:p>
    <w:p w:rsidR="004144E3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4144E3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El artículo 17 de la Ley 99 de 1993 creo al IDEAM como </w:t>
      </w:r>
      <w:r w:rsidRPr="004144E3">
        <w:rPr>
          <w:rFonts w:ascii="Arial Narrow" w:hAnsi="Arial Narrow"/>
          <w:sz w:val="24"/>
          <w:szCs w:val="24"/>
          <w:lang w:val="es-ES"/>
        </w:rPr>
        <w:t>un establecimiento público de carácter nacional adscrito al Ministerio del Medio Ambiente, con autonomía administrativa, personería jurídica y patrimonio independiente, encargado del levantamiento y manejo de la información científica y técnica sobre los ecosistemas que forman parte del patrimonio ambiental del país, así como de establecer las bases técnicas para clasificar y zonificar el uso del territorio nacional para los fines de la planificación y el ordenamiento del territorio.</w:t>
      </w:r>
    </w:p>
    <w:p w:rsidR="004144E3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4144E3" w:rsidRPr="000E1461" w:rsidRDefault="00E13F16" w:rsidP="00D57022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0E1461">
        <w:rPr>
          <w:rFonts w:ascii="Arial Narrow" w:hAnsi="Arial Narrow"/>
          <w:b/>
          <w:sz w:val="24"/>
          <w:szCs w:val="24"/>
          <w:lang w:val="es-ES"/>
        </w:rPr>
        <w:t>RIESGOS JUDICIALES DEL INSTITUTO</w:t>
      </w: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Actualmente el Instituto hace parte de un total de </w:t>
      </w:r>
      <w:r w:rsidR="00320ED6">
        <w:rPr>
          <w:rFonts w:ascii="Arial Narrow" w:hAnsi="Arial Narrow"/>
          <w:sz w:val="24"/>
          <w:szCs w:val="24"/>
          <w:lang w:val="es-ES"/>
        </w:rPr>
        <w:t>treinta (30</w:t>
      </w:r>
      <w:r>
        <w:rPr>
          <w:rFonts w:ascii="Arial Narrow" w:hAnsi="Arial Narrow"/>
          <w:sz w:val="24"/>
          <w:szCs w:val="24"/>
          <w:lang w:val="es-ES"/>
        </w:rPr>
        <w:t xml:space="preserve">) procesos judiciales de los cuales en </w:t>
      </w:r>
      <w:r w:rsidR="00320ED6">
        <w:rPr>
          <w:rFonts w:ascii="Arial Narrow" w:hAnsi="Arial Narrow"/>
          <w:sz w:val="24"/>
          <w:szCs w:val="24"/>
          <w:lang w:val="es-ES"/>
        </w:rPr>
        <w:t>siete (7</w:t>
      </w:r>
      <w:r>
        <w:rPr>
          <w:rFonts w:ascii="Arial Narrow" w:hAnsi="Arial Narrow"/>
          <w:sz w:val="24"/>
          <w:szCs w:val="24"/>
          <w:lang w:val="es-ES"/>
        </w:rPr>
        <w:t xml:space="preserve">) actúa como parte demandante y </w:t>
      </w:r>
      <w:r w:rsidR="00320ED6">
        <w:rPr>
          <w:rFonts w:ascii="Arial Narrow" w:hAnsi="Arial Narrow"/>
          <w:sz w:val="24"/>
          <w:szCs w:val="24"/>
          <w:lang w:val="es-ES"/>
        </w:rPr>
        <w:t>veintitrés (23</w:t>
      </w:r>
      <w:r>
        <w:rPr>
          <w:rFonts w:ascii="Arial Narrow" w:hAnsi="Arial Narrow"/>
          <w:sz w:val="24"/>
          <w:szCs w:val="24"/>
          <w:lang w:val="es-ES"/>
        </w:rPr>
        <w:t>) como parte demandada.</w:t>
      </w: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Los </w:t>
      </w:r>
      <w:r w:rsidR="00320ED6">
        <w:rPr>
          <w:rFonts w:ascii="Arial Narrow" w:hAnsi="Arial Narrow"/>
          <w:sz w:val="24"/>
          <w:szCs w:val="24"/>
          <w:lang w:val="es-ES"/>
        </w:rPr>
        <w:t>veintitrés (23</w:t>
      </w:r>
      <w:r>
        <w:rPr>
          <w:rFonts w:ascii="Arial Narrow" w:hAnsi="Arial Narrow"/>
          <w:sz w:val="24"/>
          <w:szCs w:val="24"/>
          <w:lang w:val="es-ES"/>
        </w:rPr>
        <w:t>) procesos judiciales en los que ha sido demandado el Instituto se difieren de la siguiente manera:</w:t>
      </w: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Default="00320ED6" w:rsidP="00D5702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Tres (3</w:t>
      </w:r>
      <w:r w:rsidR="00E13F16">
        <w:rPr>
          <w:rFonts w:ascii="Arial Narrow" w:hAnsi="Arial Narrow"/>
          <w:sz w:val="24"/>
          <w:szCs w:val="24"/>
          <w:lang w:val="es-ES"/>
        </w:rPr>
        <w:t xml:space="preserve">) acciones populares </w:t>
      </w:r>
    </w:p>
    <w:p w:rsidR="00E13F16" w:rsidRDefault="00320ED6" w:rsidP="00D5702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Trece (13</w:t>
      </w:r>
      <w:r w:rsidR="00E13F16">
        <w:rPr>
          <w:rFonts w:ascii="Arial Narrow" w:hAnsi="Arial Narrow"/>
          <w:sz w:val="24"/>
          <w:szCs w:val="24"/>
          <w:lang w:val="es-ES"/>
        </w:rPr>
        <w:t>) nulidades y restablecimiento del derecho</w:t>
      </w:r>
    </w:p>
    <w:p w:rsidR="00E13F16" w:rsidRDefault="00320ED6" w:rsidP="00D5702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Tres (3</w:t>
      </w:r>
      <w:r w:rsidR="00E13F16">
        <w:rPr>
          <w:rFonts w:ascii="Arial Narrow" w:hAnsi="Arial Narrow"/>
          <w:sz w:val="24"/>
          <w:szCs w:val="24"/>
          <w:lang w:val="es-ES"/>
        </w:rPr>
        <w:t>) acciones de grupo</w:t>
      </w:r>
    </w:p>
    <w:p w:rsidR="00E13F16" w:rsidRDefault="00320ED6" w:rsidP="00D5702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Dos (2</w:t>
      </w:r>
      <w:r w:rsidR="00E13F16">
        <w:rPr>
          <w:rFonts w:ascii="Arial Narrow" w:hAnsi="Arial Narrow"/>
          <w:sz w:val="24"/>
          <w:szCs w:val="24"/>
          <w:lang w:val="es-ES"/>
        </w:rPr>
        <w:t xml:space="preserve">) demanda de controversias contractuales </w:t>
      </w:r>
    </w:p>
    <w:p w:rsidR="00320ED6" w:rsidRDefault="00320ED6" w:rsidP="00D57022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Dos (2) Acciones de nulidad simple</w:t>
      </w: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 w:rsidRPr="00D57022">
        <w:rPr>
          <w:rFonts w:ascii="Arial Narrow" w:hAnsi="Arial Narrow"/>
          <w:sz w:val="24"/>
          <w:szCs w:val="24"/>
          <w:lang w:val="es-ES"/>
        </w:rPr>
        <w:t xml:space="preserve">Como se puede apreciar, el medio de control que concentra la mayor cantidad de la actividad litigiosa del instituto es el de </w:t>
      </w:r>
      <w:r w:rsidR="00320ED6">
        <w:rPr>
          <w:rFonts w:ascii="Arial Narrow" w:hAnsi="Arial Narrow"/>
          <w:sz w:val="24"/>
          <w:szCs w:val="24"/>
          <w:lang w:val="es-ES"/>
        </w:rPr>
        <w:t>Nulidad y Restablecimiento del Derecho</w:t>
      </w:r>
      <w:r w:rsidRPr="00D57022">
        <w:rPr>
          <w:rFonts w:ascii="Arial Narrow" w:hAnsi="Arial Narrow"/>
          <w:sz w:val="24"/>
          <w:szCs w:val="24"/>
          <w:lang w:val="es-ES"/>
        </w:rPr>
        <w:t xml:space="preserve">. </w:t>
      </w:r>
      <w:r w:rsidR="00320ED6">
        <w:rPr>
          <w:rFonts w:ascii="Arial Narrow" w:hAnsi="Arial Narrow"/>
          <w:sz w:val="24"/>
          <w:szCs w:val="24"/>
          <w:lang w:val="es-ES"/>
        </w:rPr>
        <w:t>Lo anterior se presente, en su mayoría, por las vinculaciones realizadas a partir de reliquidaciones pensionales que les fueron negadas a los demandantes.</w:t>
      </w:r>
    </w:p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Ahora, a</w:t>
      </w:r>
      <w:r w:rsidRPr="00D57022">
        <w:rPr>
          <w:rFonts w:ascii="Arial Narrow" w:hAnsi="Arial Narrow"/>
          <w:sz w:val="24"/>
          <w:szCs w:val="24"/>
        </w:rPr>
        <w:t>nalizados los documentos por medio de los cuales se inician la</w:t>
      </w:r>
      <w:r>
        <w:rPr>
          <w:rFonts w:ascii="Arial Narrow" w:hAnsi="Arial Narrow"/>
          <w:sz w:val="24"/>
          <w:szCs w:val="24"/>
        </w:rPr>
        <w:t>s</w:t>
      </w:r>
      <w:r w:rsidRPr="00D57022">
        <w:rPr>
          <w:rFonts w:ascii="Arial Narrow" w:hAnsi="Arial Narrow"/>
          <w:sz w:val="24"/>
          <w:szCs w:val="24"/>
        </w:rPr>
        <w:t xml:space="preserve"> </w:t>
      </w:r>
      <w:r w:rsidR="00EC3FC7">
        <w:rPr>
          <w:rFonts w:ascii="Arial Narrow" w:hAnsi="Arial Narrow"/>
          <w:sz w:val="24"/>
          <w:szCs w:val="24"/>
        </w:rPr>
        <w:t xml:space="preserve">solicitudes de conciliaciones extrajudiciales </w:t>
      </w:r>
      <w:r w:rsidRPr="00D57022">
        <w:rPr>
          <w:rFonts w:ascii="Arial Narrow" w:hAnsi="Arial Narrow"/>
          <w:sz w:val="24"/>
          <w:szCs w:val="24"/>
        </w:rPr>
        <w:t>o las demandas, se tiene que los argumentos aducidos por los peticionarios, convocantes o demandantes en sus escritos pueden ser concentrados en los siguientes grupos:</w:t>
      </w:r>
    </w:p>
    <w:p w:rsidR="00D57022" w:rsidRP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57022" w:rsidRPr="00D57022" w:rsidRDefault="00D57022" w:rsidP="00D5702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7022">
        <w:rPr>
          <w:rFonts w:ascii="Arial Narrow" w:hAnsi="Arial Narrow"/>
          <w:sz w:val="24"/>
          <w:szCs w:val="24"/>
        </w:rPr>
        <w:t>Supuesta inobservancia de las competencias propias de la entidad en su desarrollo.</w:t>
      </w:r>
    </w:p>
    <w:p w:rsidR="00D57022" w:rsidRPr="00D57022" w:rsidRDefault="00D57022" w:rsidP="00D5702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7022">
        <w:rPr>
          <w:rFonts w:ascii="Arial Narrow" w:hAnsi="Arial Narrow"/>
          <w:sz w:val="24"/>
          <w:szCs w:val="24"/>
        </w:rPr>
        <w:t xml:space="preserve">Supuesto incumplimiento sobre los derechos, deberes y obligaciones que tienen los servidores públicos. </w:t>
      </w:r>
    </w:p>
    <w:p w:rsidR="00D57022" w:rsidRPr="00D57022" w:rsidRDefault="00D57022" w:rsidP="00D5702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7022">
        <w:rPr>
          <w:rFonts w:ascii="Arial Narrow" w:hAnsi="Arial Narrow"/>
          <w:sz w:val="24"/>
          <w:szCs w:val="24"/>
        </w:rPr>
        <w:t>Presunto incumplimiento en el pago de prestaciones en consideración de ser ex funcionario, para su pensión de jubilación.</w:t>
      </w:r>
    </w:p>
    <w:p w:rsidR="00E13F16" w:rsidRPr="00D57022" w:rsidRDefault="00D57022" w:rsidP="00D5702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D57022">
        <w:rPr>
          <w:rFonts w:ascii="Arial Narrow" w:hAnsi="Arial Narrow"/>
          <w:sz w:val="24"/>
          <w:szCs w:val="24"/>
        </w:rPr>
        <w:t>Presunta violación al derecho de petición.</w:t>
      </w:r>
    </w:p>
    <w:p w:rsidR="00D57022" w:rsidRDefault="00D57022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En consecuencia, considerando que por la naturaleza jurídica del Instituto, todos los procesos judiciales en los que haga parte </w:t>
      </w:r>
      <w:r w:rsidR="00EC3FC7">
        <w:rPr>
          <w:rFonts w:ascii="Arial Narrow" w:hAnsi="Arial Narrow"/>
          <w:sz w:val="24"/>
          <w:szCs w:val="24"/>
          <w:lang w:val="es-ES"/>
        </w:rPr>
        <w:t xml:space="preserve">el Instituto </w:t>
      </w:r>
      <w:r>
        <w:rPr>
          <w:rFonts w:ascii="Arial Narrow" w:hAnsi="Arial Narrow"/>
          <w:sz w:val="24"/>
          <w:szCs w:val="24"/>
          <w:lang w:val="es-ES"/>
        </w:rPr>
        <w:t>deben surtirse ante la Jurisdicción de lo Contencioso Administrativo</w:t>
      </w:r>
      <w:r w:rsidR="007E2EAD">
        <w:rPr>
          <w:rFonts w:ascii="Arial Narrow" w:hAnsi="Arial Narrow"/>
          <w:sz w:val="24"/>
          <w:szCs w:val="24"/>
          <w:lang w:val="es-ES"/>
        </w:rPr>
        <w:t xml:space="preserve"> (salvo las acciones constitucionales de tutela)</w:t>
      </w:r>
      <w:r>
        <w:rPr>
          <w:rFonts w:ascii="Arial Narrow" w:hAnsi="Arial Narrow"/>
          <w:sz w:val="24"/>
          <w:szCs w:val="24"/>
          <w:lang w:val="es-ES"/>
        </w:rPr>
        <w:t xml:space="preserve"> y</w:t>
      </w:r>
      <w:r w:rsidR="00EC3FC7">
        <w:rPr>
          <w:rFonts w:ascii="Arial Narrow" w:hAnsi="Arial Narrow"/>
          <w:sz w:val="24"/>
          <w:szCs w:val="24"/>
          <w:lang w:val="es-ES"/>
        </w:rPr>
        <w:t xml:space="preserve"> teniendo en cuenta la naturaleza de los asuntos que motivan las demandas y conciliaciones, el Comité de Conciliación de la entidad considera que los interés de la entidad en los procesos judiciales serán debidamente protegidos asignando la defensa a los abogados que cumplan como mínimo con el perfil que se indica a continuación:</w:t>
      </w:r>
    </w:p>
    <w:p w:rsidR="00EC3FC7" w:rsidRDefault="00EC3FC7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Pr="000E1461" w:rsidRDefault="00E13F16" w:rsidP="00D57022">
      <w:pPr>
        <w:spacing w:after="0"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0E1461">
        <w:rPr>
          <w:rFonts w:ascii="Arial Narrow" w:hAnsi="Arial Narrow"/>
          <w:b/>
          <w:sz w:val="24"/>
          <w:szCs w:val="24"/>
          <w:lang w:val="es-ES"/>
        </w:rPr>
        <w:t xml:space="preserve">PARA DEFENSA JUDICIAL Y EXTRAJUDICIAL </w:t>
      </w:r>
    </w:p>
    <w:p w:rsidR="00E13F16" w:rsidRPr="00E13F16" w:rsidRDefault="00E13F16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E13F16" w:rsidRDefault="00E13F16" w:rsidP="00D57022">
      <w:pPr>
        <w:pStyle w:val="Prrafodelista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Abogado titulado</w:t>
      </w:r>
    </w:p>
    <w:p w:rsidR="00E13F16" w:rsidRDefault="00E13F16" w:rsidP="00D57022">
      <w:pPr>
        <w:pStyle w:val="Prrafodelista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 xml:space="preserve">Título en modalidad de posgrado en </w:t>
      </w:r>
      <w:r w:rsidR="000E1461">
        <w:rPr>
          <w:rFonts w:ascii="Arial Narrow" w:hAnsi="Arial Narrow"/>
          <w:sz w:val="24"/>
          <w:szCs w:val="24"/>
          <w:lang w:val="es-ES"/>
        </w:rPr>
        <w:t xml:space="preserve">derecho administrativo, </w:t>
      </w:r>
      <w:r w:rsidR="00A577B2">
        <w:rPr>
          <w:rFonts w:ascii="Arial Narrow" w:hAnsi="Arial Narrow"/>
          <w:sz w:val="24"/>
          <w:szCs w:val="24"/>
          <w:lang w:val="es-ES"/>
        </w:rPr>
        <w:t xml:space="preserve">público, </w:t>
      </w:r>
      <w:r w:rsidR="000E1461">
        <w:rPr>
          <w:rFonts w:ascii="Arial Narrow" w:hAnsi="Arial Narrow"/>
          <w:sz w:val="24"/>
          <w:szCs w:val="24"/>
          <w:lang w:val="es-ES"/>
        </w:rPr>
        <w:t>procesal, contencioso o con pensum relacionada al litigio.</w:t>
      </w:r>
    </w:p>
    <w:p w:rsidR="000E1461" w:rsidRDefault="000E1461" w:rsidP="00D57022">
      <w:pPr>
        <w:pStyle w:val="Prrafodelista"/>
        <w:numPr>
          <w:ilvl w:val="0"/>
          <w:numId w:val="4"/>
        </w:num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Treinta y seis (36) meses d</w:t>
      </w:r>
      <w:r w:rsidR="00A577B2">
        <w:rPr>
          <w:rFonts w:ascii="Arial Narrow" w:hAnsi="Arial Narrow"/>
          <w:sz w:val="24"/>
          <w:szCs w:val="24"/>
          <w:lang w:val="es-ES"/>
        </w:rPr>
        <w:t xml:space="preserve">e experiencia profesional en el seguimiento, impulso, sustanciación o decisión de procesos judiciales o </w:t>
      </w:r>
      <w:r>
        <w:rPr>
          <w:rFonts w:ascii="Arial Narrow" w:hAnsi="Arial Narrow"/>
          <w:sz w:val="24"/>
          <w:szCs w:val="24"/>
          <w:lang w:val="es-ES"/>
        </w:rPr>
        <w:t>defensa judicial y extrajudicial de entidades de la Rama Ejecutiva del Poder Público.</w:t>
      </w:r>
    </w:p>
    <w:p w:rsidR="000E1461" w:rsidRDefault="000E1461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0E1461" w:rsidRPr="007E2EAD" w:rsidRDefault="007E2EAD" w:rsidP="00D57022">
      <w:pPr>
        <w:spacing w:after="0"/>
        <w:jc w:val="both"/>
        <w:rPr>
          <w:rFonts w:ascii="Arial Narrow" w:hAnsi="Arial Narrow"/>
          <w:sz w:val="24"/>
          <w:szCs w:val="24"/>
          <w:lang w:val="es-MX"/>
        </w:rPr>
      </w:pPr>
      <w:r>
        <w:rPr>
          <w:rFonts w:ascii="Arial Narrow" w:hAnsi="Arial Narrow"/>
          <w:sz w:val="24"/>
          <w:szCs w:val="24"/>
          <w:lang w:val="es-ES"/>
        </w:rPr>
        <w:t>Los honorarios se fijarán de acuerdo con lo estipulado en la Resolución emitida por la Dirección General, siendo excluido de dichas reglas, entre otros, l</w:t>
      </w:r>
      <w:r w:rsidRPr="007E2EAD">
        <w:rPr>
          <w:rFonts w:ascii="Arial Narrow" w:hAnsi="Arial Narrow"/>
          <w:sz w:val="24"/>
          <w:szCs w:val="24"/>
          <w:lang w:val="es-ES"/>
        </w:rPr>
        <w:t>os contratos de prestación de servicios de representación judicial cuando el objeto o la naturaleza del contrato o la cuantía de las pretensiones lo ameriten.</w:t>
      </w:r>
    </w:p>
    <w:p w:rsidR="004144E3" w:rsidRDefault="004144E3" w:rsidP="00D57022">
      <w:pPr>
        <w:spacing w:after="0"/>
        <w:jc w:val="both"/>
        <w:rPr>
          <w:rFonts w:ascii="Arial Narrow" w:hAnsi="Arial Narrow"/>
          <w:sz w:val="24"/>
          <w:szCs w:val="24"/>
          <w:lang w:val="es-ES"/>
        </w:rPr>
      </w:pPr>
    </w:p>
    <w:p w:rsidR="007F00DC" w:rsidRPr="007F00DC" w:rsidRDefault="007F00DC" w:rsidP="007F00DC">
      <w:pPr>
        <w:spacing w:after="0"/>
        <w:jc w:val="center"/>
        <w:rPr>
          <w:rFonts w:ascii="Arial Narrow" w:hAnsi="Arial Narrow"/>
          <w:sz w:val="24"/>
          <w:szCs w:val="24"/>
          <w:u w:val="single"/>
          <w:lang w:val="es-ES"/>
        </w:rPr>
      </w:pPr>
      <w:r w:rsidRPr="007F00DC">
        <w:rPr>
          <w:rFonts w:ascii="Arial Narrow" w:hAnsi="Arial Narrow"/>
          <w:sz w:val="24"/>
          <w:szCs w:val="24"/>
          <w:u w:val="single"/>
          <w:lang w:val="es-ES"/>
        </w:rPr>
        <w:t xml:space="preserve">APROBADO POR EL COMITÉ DE CONCILIACIÓN DEL INSTITUTO EN SESIÓN DEL </w:t>
      </w:r>
    </w:p>
    <w:p w:rsidR="007F00DC" w:rsidRDefault="00A577B2" w:rsidP="007F00DC">
      <w:pPr>
        <w:spacing w:after="0"/>
        <w:jc w:val="center"/>
        <w:rPr>
          <w:rFonts w:ascii="Arial Narrow" w:hAnsi="Arial Narrow"/>
          <w:sz w:val="24"/>
          <w:szCs w:val="24"/>
          <w:u w:val="single"/>
          <w:lang w:val="es-ES"/>
        </w:rPr>
      </w:pPr>
      <w:r>
        <w:rPr>
          <w:rFonts w:ascii="Arial Narrow" w:hAnsi="Arial Narrow"/>
          <w:sz w:val="24"/>
          <w:szCs w:val="24"/>
          <w:u w:val="single"/>
          <w:lang w:val="es-ES"/>
        </w:rPr>
        <w:t>19 DE DICIEMBRE DE 2017</w:t>
      </w:r>
      <w:r w:rsidR="007F00DC" w:rsidRPr="007F00DC">
        <w:rPr>
          <w:rFonts w:ascii="Arial Narrow" w:hAnsi="Arial Narrow"/>
          <w:sz w:val="24"/>
          <w:szCs w:val="24"/>
          <w:u w:val="single"/>
          <w:lang w:val="es-ES"/>
        </w:rPr>
        <w:t>.</w:t>
      </w:r>
    </w:p>
    <w:p w:rsidR="00A905E8" w:rsidRPr="007F00DC" w:rsidRDefault="00A905E8" w:rsidP="007F00DC">
      <w:pPr>
        <w:spacing w:after="0"/>
        <w:jc w:val="center"/>
        <w:rPr>
          <w:rFonts w:ascii="Arial Narrow" w:hAnsi="Arial Narrow"/>
          <w:sz w:val="24"/>
          <w:szCs w:val="24"/>
          <w:u w:val="single"/>
          <w:lang w:val="es-ES"/>
        </w:rPr>
      </w:pPr>
    </w:p>
    <w:tbl>
      <w:tblPr>
        <w:tblW w:w="6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880"/>
        <w:gridCol w:w="3060"/>
      </w:tblGrid>
      <w:tr w:rsidR="00A905E8" w:rsidRPr="00A905E8" w:rsidTr="00A905E8">
        <w:trPr>
          <w:trHeight w:val="30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  <w:t xml:space="preserve">VERSION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  <w:t xml:space="preserve">FECHA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lang w:eastAsia="es-CO"/>
              </w:rPr>
              <w:t>DESCRIPCION</w:t>
            </w:r>
          </w:p>
        </w:tc>
      </w:tr>
      <w:tr w:rsidR="00A905E8" w:rsidRPr="00A905E8" w:rsidTr="00A905E8">
        <w:trPr>
          <w:trHeight w:val="3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>25/01/2016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>CREACION DEL DOCUMENTO</w:t>
            </w:r>
          </w:p>
        </w:tc>
      </w:tr>
      <w:tr w:rsidR="00A905E8" w:rsidRPr="00A905E8" w:rsidTr="00A905E8">
        <w:trPr>
          <w:trHeight w:val="600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>19/12/2017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5E8" w:rsidRPr="00A905E8" w:rsidRDefault="00A905E8" w:rsidP="00A905E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</w:pPr>
            <w:r w:rsidRPr="00A905E8">
              <w:rPr>
                <w:rFonts w:ascii="Arial Narrow" w:eastAsia="Times New Roman" w:hAnsi="Arial Narrow" w:cs="Times New Roman"/>
                <w:color w:val="000000"/>
                <w:sz w:val="20"/>
                <w:lang w:eastAsia="es-CO"/>
              </w:rPr>
              <w:t xml:space="preserve">MODIFICA LOS CRITERIOS DE SELECCIÓN </w:t>
            </w:r>
          </w:p>
        </w:tc>
      </w:tr>
    </w:tbl>
    <w:p w:rsidR="004144E3" w:rsidRPr="00A905E8" w:rsidRDefault="004144E3" w:rsidP="00D57022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4144E3" w:rsidRPr="00A905E8" w:rsidSect="00D57022">
      <w:footerReference w:type="default" r:id="rId8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9C" w:rsidRDefault="0020469C" w:rsidP="007F00DC">
      <w:pPr>
        <w:spacing w:after="0" w:line="240" w:lineRule="auto"/>
      </w:pPr>
      <w:r>
        <w:separator/>
      </w:r>
    </w:p>
  </w:endnote>
  <w:endnote w:type="continuationSeparator" w:id="0">
    <w:p w:rsidR="0020469C" w:rsidRDefault="0020469C" w:rsidP="007F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8599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F00DC" w:rsidRDefault="007F00D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7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07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00DC" w:rsidRDefault="007F00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9C" w:rsidRDefault="0020469C" w:rsidP="007F00DC">
      <w:pPr>
        <w:spacing w:after="0" w:line="240" w:lineRule="auto"/>
      </w:pPr>
      <w:r>
        <w:separator/>
      </w:r>
    </w:p>
  </w:footnote>
  <w:footnote w:type="continuationSeparator" w:id="0">
    <w:p w:rsidR="0020469C" w:rsidRDefault="0020469C" w:rsidP="007F0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528F3"/>
    <w:multiLevelType w:val="hybridMultilevel"/>
    <w:tmpl w:val="632058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7CBE"/>
    <w:multiLevelType w:val="hybridMultilevel"/>
    <w:tmpl w:val="49BAD1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26B"/>
    <w:multiLevelType w:val="hybridMultilevel"/>
    <w:tmpl w:val="014C345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7D19"/>
    <w:multiLevelType w:val="hybridMultilevel"/>
    <w:tmpl w:val="AE14C0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700B3"/>
    <w:multiLevelType w:val="hybridMultilevel"/>
    <w:tmpl w:val="86782C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FEC"/>
    <w:multiLevelType w:val="hybridMultilevel"/>
    <w:tmpl w:val="25D4805C"/>
    <w:lvl w:ilvl="0" w:tplc="B1E089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20A11"/>
    <w:multiLevelType w:val="hybridMultilevel"/>
    <w:tmpl w:val="B4C6B2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E3"/>
    <w:rsid w:val="0009273F"/>
    <w:rsid w:val="000B346E"/>
    <w:rsid w:val="000E1461"/>
    <w:rsid w:val="0020469C"/>
    <w:rsid w:val="00285F71"/>
    <w:rsid w:val="00287C85"/>
    <w:rsid w:val="002F324F"/>
    <w:rsid w:val="003207E9"/>
    <w:rsid w:val="00320ED6"/>
    <w:rsid w:val="003F5280"/>
    <w:rsid w:val="004144E3"/>
    <w:rsid w:val="005726CE"/>
    <w:rsid w:val="005F7478"/>
    <w:rsid w:val="006111BF"/>
    <w:rsid w:val="00752947"/>
    <w:rsid w:val="007E2EAD"/>
    <w:rsid w:val="007F00DC"/>
    <w:rsid w:val="00967F33"/>
    <w:rsid w:val="00A56F95"/>
    <w:rsid w:val="00A577B2"/>
    <w:rsid w:val="00A905E8"/>
    <w:rsid w:val="00C602DF"/>
    <w:rsid w:val="00CC65F3"/>
    <w:rsid w:val="00CE25A7"/>
    <w:rsid w:val="00D57022"/>
    <w:rsid w:val="00D664E1"/>
    <w:rsid w:val="00E13F16"/>
    <w:rsid w:val="00E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3AD2"/>
  <w15:docId w15:val="{C70F759C-DD57-477C-B72C-1B21038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3F1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5702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57022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0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0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00DC"/>
  </w:style>
  <w:style w:type="paragraph" w:styleId="Piedepgina">
    <w:name w:val="footer"/>
    <w:basedOn w:val="Normal"/>
    <w:link w:val="PiedepginaCar"/>
    <w:uiPriority w:val="99"/>
    <w:unhideWhenUsed/>
    <w:rsid w:val="007F00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0D75F3215C4DC5BB513293D64E4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179C-40D7-429B-B3E2-932D6B2DDAD1}"/>
      </w:docPartPr>
      <w:docPartBody>
        <w:p w:rsidR="00B9670E" w:rsidRDefault="00C20AFF" w:rsidP="00C20AFF">
          <w:pPr>
            <w:pStyle w:val="AD0D75F3215C4DC5BB513293D64E40C3"/>
          </w:pPr>
          <w:r>
            <w:rPr>
              <w:rFonts w:asciiTheme="majorHAnsi" w:eastAsiaTheme="majorEastAsia" w:hAnsiTheme="majorHAnsi" w:cstheme="majorBidi"/>
              <w:caps/>
              <w:lang w:val="es-ES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AFF"/>
    <w:rsid w:val="000C7595"/>
    <w:rsid w:val="003D15AB"/>
    <w:rsid w:val="0040250F"/>
    <w:rsid w:val="005677DF"/>
    <w:rsid w:val="008E703C"/>
    <w:rsid w:val="00B9670E"/>
    <w:rsid w:val="00C20AFF"/>
    <w:rsid w:val="00D569AB"/>
    <w:rsid w:val="00D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0D75F3215C4DC5BB513293D64E40C3">
    <w:name w:val="AD0D75F3215C4DC5BB513293D64E40C3"/>
    <w:rsid w:val="00C20AFF"/>
  </w:style>
  <w:style w:type="paragraph" w:customStyle="1" w:styleId="FD739C749E024FC2AD03B4A64452D67A">
    <w:name w:val="FD739C749E024FC2AD03B4A64452D67A"/>
    <w:rsid w:val="00C20AFF"/>
  </w:style>
  <w:style w:type="paragraph" w:customStyle="1" w:styleId="4FF4E989F9864A28822B398DBF4199D0">
    <w:name w:val="4FF4E989F9864A28822B398DBF4199D0"/>
    <w:rsid w:val="00C20AFF"/>
  </w:style>
  <w:style w:type="paragraph" w:customStyle="1" w:styleId="0F2FDDF519C84B7D9F2F0B8BA625C9A1">
    <w:name w:val="0F2FDDF519C84B7D9F2F0B8BA625C9A1"/>
    <w:rsid w:val="00C20AFF"/>
  </w:style>
  <w:style w:type="paragraph" w:customStyle="1" w:styleId="1143CC8A72EA4970B701AF35AE10294B">
    <w:name w:val="1143CC8A72EA4970B701AF35AE10294B"/>
    <w:rsid w:val="00C20AFF"/>
  </w:style>
  <w:style w:type="paragraph" w:customStyle="1" w:styleId="B9305353C1D849EE932495FCF7F6E554">
    <w:name w:val="B9305353C1D849EE932495FCF7F6E554"/>
    <w:rsid w:val="00C20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2017-12-19T00:00:00</PublishDate>
  <Abstract>El documento contiene el marco de referencia que deberá tenerse en cuenta para la contratación de abogados que prestan sus servicios en el Instituto para la defensa judicial y extrajudicial del IDEAM.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PARA LA SELECCIÓN DE ABOGADOS EXTERNOS V. 2</vt:lpstr>
    </vt:vector>
  </TitlesOfParts>
  <Company>Instituto colombiaNo de hIdrología, meteorología y estudios ambieNtales -IDEAM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PARA LA SELECCIÓN DE ABOGADOS EXTERNOS V. 2</dc:title>
  <dc:subject>COMITÉ TÉCNICO DE CONCILIACIÓN</dc:subject>
  <dc:creator>Oficina Asesora Jurídica</dc:creator>
  <cp:lastModifiedBy>PMO IDEAM</cp:lastModifiedBy>
  <cp:revision>4</cp:revision>
  <cp:lastPrinted>2016-01-25T15:52:00Z</cp:lastPrinted>
  <dcterms:created xsi:type="dcterms:W3CDTF">2018-01-12T15:40:00Z</dcterms:created>
  <dcterms:modified xsi:type="dcterms:W3CDTF">2018-01-12T15:40:00Z</dcterms:modified>
</cp:coreProperties>
</file>