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EAD6" w14:textId="77777777" w:rsidR="00500F62" w:rsidRPr="009045BC" w:rsidRDefault="009045BC" w:rsidP="009045BC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bookmarkStart w:id="0" w:name="_GoBack"/>
      <w:bookmarkEnd w:id="0"/>
      <w:r w:rsidRPr="009045BC">
        <w:rPr>
          <w:rFonts w:ascii="Arial Narrow" w:hAnsi="Arial Narrow"/>
          <w:b/>
          <w:snapToGrid w:val="0"/>
          <w:sz w:val="20"/>
          <w:szCs w:val="20"/>
        </w:rPr>
        <w:t xml:space="preserve">I. </w:t>
      </w:r>
      <w:r w:rsidR="00500F62" w:rsidRPr="009045BC">
        <w:rPr>
          <w:rFonts w:ascii="Arial Narrow" w:hAnsi="Arial Narrow"/>
          <w:b/>
          <w:snapToGrid w:val="0"/>
          <w:sz w:val="20"/>
          <w:szCs w:val="20"/>
        </w:rPr>
        <w:t>INTRODUCCIÓN</w:t>
      </w:r>
    </w:p>
    <w:p w14:paraId="6572FBF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73925F9" w14:textId="5D5E54F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El Código de Ética y Buen Gobierno del Instituto de Hidrología, Meteorología y Estudios Ambientales –IDEAM-, el cual fue adoptado mediante Resolución No. 2400 del 12 de septiembre de 2014 es una herramienta que contempla el conjunto de políticas respecto de la gestión de la Entidad, con </w:t>
      </w:r>
      <w:r w:rsidR="00221132">
        <w:rPr>
          <w:rFonts w:ascii="Arial Narrow" w:hAnsi="Arial Narrow"/>
          <w:snapToGrid w:val="0"/>
          <w:sz w:val="20"/>
          <w:szCs w:val="20"/>
        </w:rPr>
        <w:t>criterios de Ética, Integridad, Transparencia y Eficiencia,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con el objetivo de asegurar que los servidores públicos orienten su actuación hacia el cumplimiento de los fines misionales y del Estado.</w:t>
      </w:r>
    </w:p>
    <w:p w14:paraId="367282D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2136E7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De conformidad con el Decreto No. 1076 de 2015, el Instituto de Hidrología, Meteorología y Estudios Ambientales –IDEAM- es el organismo encargado de realizar la acreditación de laboratorios que produzcan información cuantitativa física, química y biótica para los estudios o análisis ambientales requeridos por las autoridades ambientales competentes, y los demás que produzcan información de carácter oficial, relacionada con la calidad del medio ambiente y de los recursos naturales renovables.</w:t>
      </w:r>
    </w:p>
    <w:p w14:paraId="1E80BF3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C3381FB" w14:textId="51E336A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Por lo anterior, </w:t>
      </w:r>
      <w:r w:rsidR="0030622D">
        <w:rPr>
          <w:rFonts w:ascii="Arial Narrow" w:hAnsi="Arial Narrow"/>
          <w:snapToGrid w:val="0"/>
          <w:sz w:val="20"/>
          <w:szCs w:val="20"/>
        </w:rPr>
        <w:t>las auditorías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del Grupo de Acreditación del IDEAM, deben caracterizarse por su calidad, responsabilidad, transparencia, desarrollo ético e idoneidad.</w:t>
      </w:r>
    </w:p>
    <w:p w14:paraId="6F0E6973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6F056DE" w14:textId="3941BFD4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Adicionalmente, y dado que durante la </w:t>
      </w:r>
      <w:r w:rsidR="0030622D">
        <w:rPr>
          <w:rFonts w:ascii="Arial Narrow" w:hAnsi="Arial Narrow"/>
          <w:snapToGrid w:val="0"/>
          <w:sz w:val="20"/>
          <w:szCs w:val="20"/>
        </w:rPr>
        <w:t>realización de las auditorías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se tiene acceso a información de los Organismos  de</w:t>
      </w:r>
      <w:r w:rsidR="00C228B3">
        <w:rPr>
          <w:rFonts w:ascii="Arial Narrow" w:hAnsi="Arial Narrow"/>
          <w:snapToGrid w:val="0"/>
          <w:sz w:val="20"/>
          <w:szCs w:val="20"/>
        </w:rPr>
        <w:t xml:space="preserve"> Evaluación de la Conformidad, 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su manejo debe enmarcarse dentro de los más altos </w:t>
      </w:r>
      <w:r w:rsidR="00821040" w:rsidRPr="00500F62">
        <w:rPr>
          <w:rFonts w:ascii="Arial Narrow" w:hAnsi="Arial Narrow"/>
          <w:snapToGrid w:val="0"/>
          <w:sz w:val="20"/>
          <w:szCs w:val="20"/>
        </w:rPr>
        <w:t>estándares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 confidencialidad y profesionalismo.</w:t>
      </w:r>
    </w:p>
    <w:p w14:paraId="1D41405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B4D29B5" w14:textId="77777777" w:rsid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El presente Código de Ética del Grupo de Acreditaci</w:t>
      </w:r>
      <w:r w:rsidR="00C228B3">
        <w:rPr>
          <w:rFonts w:ascii="Arial Narrow" w:hAnsi="Arial Narrow"/>
          <w:snapToGrid w:val="0"/>
          <w:sz w:val="20"/>
          <w:szCs w:val="20"/>
        </w:rPr>
        <w:t>ón del IDEAM, es complementario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al Código de Ética de la Entidad y su camp</w:t>
      </w:r>
      <w:r w:rsidR="00C228B3">
        <w:rPr>
          <w:rFonts w:ascii="Arial Narrow" w:hAnsi="Arial Narrow"/>
          <w:snapToGrid w:val="0"/>
          <w:sz w:val="20"/>
          <w:szCs w:val="20"/>
        </w:rPr>
        <w:t>o de aplicación se circunscribe a los funcionarios y contratistas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que desempeña</w:t>
      </w:r>
      <w:r w:rsidR="00C228B3">
        <w:rPr>
          <w:rFonts w:ascii="Arial Narrow" w:hAnsi="Arial Narrow"/>
          <w:snapToGrid w:val="0"/>
          <w:sz w:val="20"/>
          <w:szCs w:val="20"/>
        </w:rPr>
        <w:t>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actividades de </w:t>
      </w:r>
      <w:r w:rsidR="00C228B3">
        <w:rPr>
          <w:rFonts w:ascii="Arial Narrow" w:hAnsi="Arial Narrow"/>
          <w:snapToGrid w:val="0"/>
          <w:sz w:val="20"/>
          <w:szCs w:val="20"/>
        </w:rPr>
        <w:t>auditores líderes o auditores asistentes en el proceso de acreditación o autorización de organismos de evaluación de la conformidad a cargo del Grupo de Acreditación de Laboratorios de la Subdirección de Estudios Ambientales.</w:t>
      </w:r>
    </w:p>
    <w:p w14:paraId="0A45ED22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7A6E5E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8CDA8E1" w14:textId="77777777" w:rsidR="00500F62" w:rsidRPr="009045BC" w:rsidRDefault="009045BC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045BC">
        <w:rPr>
          <w:rFonts w:ascii="Arial Narrow" w:hAnsi="Arial Narrow"/>
          <w:b/>
          <w:snapToGrid w:val="0"/>
          <w:sz w:val="20"/>
          <w:szCs w:val="20"/>
        </w:rPr>
        <w:t xml:space="preserve">II. </w:t>
      </w:r>
      <w:r w:rsidR="00500F62" w:rsidRPr="009045BC">
        <w:rPr>
          <w:rFonts w:ascii="Arial Narrow" w:hAnsi="Arial Narrow"/>
          <w:b/>
          <w:snapToGrid w:val="0"/>
          <w:sz w:val="20"/>
          <w:szCs w:val="20"/>
        </w:rPr>
        <w:t>DISPOSICIONES GENERALES</w:t>
      </w:r>
    </w:p>
    <w:p w14:paraId="24D485C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81DB69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6F232F0" w14:textId="77777777" w:rsidR="00500F62" w:rsidRPr="009045BC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045BC">
        <w:rPr>
          <w:rFonts w:ascii="Arial Narrow" w:hAnsi="Arial Narrow"/>
          <w:b/>
          <w:snapToGrid w:val="0"/>
          <w:sz w:val="20"/>
          <w:szCs w:val="20"/>
        </w:rPr>
        <w:t>1. Objeto</w:t>
      </w:r>
    </w:p>
    <w:p w14:paraId="449925F6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252231C" w14:textId="0916E037" w:rsidR="00500F62" w:rsidRPr="00500F62" w:rsidRDefault="00FC07B4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>El presente código de é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tica busca orientar sobre el correcto y</w:t>
      </w:r>
      <w:r w:rsidR="00221132">
        <w:rPr>
          <w:rFonts w:ascii="Arial Narrow" w:hAnsi="Arial Narrow"/>
          <w:snapToGrid w:val="0"/>
          <w:sz w:val="20"/>
          <w:szCs w:val="20"/>
        </w:rPr>
        <w:t xml:space="preserve"> adecuado comportamiento y forma de actuar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de lo</w:t>
      </w:r>
      <w:r w:rsidR="00221132">
        <w:rPr>
          <w:rFonts w:ascii="Arial Narrow" w:hAnsi="Arial Narrow"/>
          <w:snapToGrid w:val="0"/>
          <w:sz w:val="20"/>
          <w:szCs w:val="20"/>
        </w:rPr>
        <w:t>s</w:t>
      </w:r>
      <w:r>
        <w:rPr>
          <w:rFonts w:ascii="Arial Narrow" w:hAnsi="Arial Narrow"/>
          <w:snapToGrid w:val="0"/>
          <w:sz w:val="20"/>
          <w:szCs w:val="20"/>
        </w:rPr>
        <w:t xml:space="preserve"> funcionarios y contratistas 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del Grupo de Acreditación del Instituto de Hidrología, Meteorología y Estudios Ambientales –IDEAM- y promover una cultura que orienten sus actuaciones en aras de promover y afianzar la transparencia, calidad e idoneidad de todas las actuaciones, para brindar confianza en </w:t>
      </w:r>
      <w:r w:rsidR="00E3296D">
        <w:rPr>
          <w:rFonts w:ascii="Arial Narrow" w:hAnsi="Arial Narrow"/>
          <w:snapToGrid w:val="0"/>
          <w:sz w:val="20"/>
          <w:szCs w:val="20"/>
        </w:rPr>
        <w:t>las auditorías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de acreditación</w:t>
      </w:r>
      <w:r w:rsidR="00C228B3">
        <w:rPr>
          <w:rFonts w:ascii="Arial Narrow" w:hAnsi="Arial Narrow"/>
          <w:snapToGrid w:val="0"/>
          <w:sz w:val="20"/>
          <w:szCs w:val="20"/>
        </w:rPr>
        <w:t xml:space="preserve"> y/o autorización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de </w:t>
      </w:r>
      <w:r w:rsidR="00C228B3">
        <w:rPr>
          <w:rFonts w:ascii="Arial Narrow" w:hAnsi="Arial Narrow"/>
          <w:snapToGrid w:val="0"/>
          <w:sz w:val="20"/>
          <w:szCs w:val="20"/>
        </w:rPr>
        <w:t>organismos de evaluación de la conformidad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6419D3B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DDC1EE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09B1EDA" w14:textId="77777777" w:rsidR="00500F62" w:rsidRPr="009045BC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045BC">
        <w:rPr>
          <w:rFonts w:ascii="Arial Narrow" w:hAnsi="Arial Narrow"/>
          <w:b/>
          <w:snapToGrid w:val="0"/>
          <w:sz w:val="20"/>
          <w:szCs w:val="20"/>
        </w:rPr>
        <w:t>2. Ámbito de aplicación</w:t>
      </w:r>
    </w:p>
    <w:p w14:paraId="29FB3FE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6CE546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El presente Código de Ética está dirigido a los funcionarios y contratistas adscritos al Grupo de Acreditación de Laboratorios de la Subdirección de Estudios Ambientales del Instituto de Hidrología, Meteorología y Estudios Ambientales, por lo que su cumplimiento es obligatorio y ha de estar presente en todas sus actuaciones.</w:t>
      </w:r>
    </w:p>
    <w:p w14:paraId="5489FAEB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C6BE5FB" w14:textId="77777777" w:rsidR="00500F62" w:rsidRPr="00500F62" w:rsidRDefault="00D12F2B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>Este código de ética es complementario al código de ética i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nstitucional.</w:t>
      </w:r>
    </w:p>
    <w:p w14:paraId="6262BB8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0C01E3B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5547328" w14:textId="77777777" w:rsidR="00500F62" w:rsidRPr="009045BC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045BC">
        <w:rPr>
          <w:rFonts w:ascii="Arial Narrow" w:hAnsi="Arial Narrow"/>
          <w:b/>
          <w:snapToGrid w:val="0"/>
          <w:sz w:val="20"/>
          <w:szCs w:val="20"/>
        </w:rPr>
        <w:t>3. Principios que guían la actuación de los funcionarios y contratistas del Grupo de Acreditación del IDEAM</w:t>
      </w:r>
    </w:p>
    <w:p w14:paraId="73D2A86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394ACFF" w14:textId="63BC8CE8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Los contratistas y demás funcionarios del Grupo de Acreditación del IDEAM, deben destacarse porque sus</w:t>
      </w:r>
      <w:r w:rsidR="00C347C3">
        <w:rPr>
          <w:rFonts w:ascii="Arial Narrow" w:hAnsi="Arial Narrow"/>
          <w:snapToGrid w:val="0"/>
          <w:sz w:val="20"/>
          <w:szCs w:val="20"/>
        </w:rPr>
        <w:t xml:space="preserve"> acciones están guiadas por el código de é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tica de la Entidad y siguen los </w:t>
      </w:r>
      <w:r w:rsidR="00C347C3">
        <w:rPr>
          <w:rFonts w:ascii="Arial Narrow" w:hAnsi="Arial Narrow"/>
          <w:snapToGrid w:val="0"/>
          <w:sz w:val="20"/>
          <w:szCs w:val="20"/>
        </w:rPr>
        <w:t>principios correspondientes al código de é</w:t>
      </w:r>
      <w:r w:rsidRPr="00500F62">
        <w:rPr>
          <w:rFonts w:ascii="Arial Narrow" w:hAnsi="Arial Narrow"/>
          <w:snapToGrid w:val="0"/>
          <w:sz w:val="20"/>
          <w:szCs w:val="20"/>
        </w:rPr>
        <w:t>tica del Grupo de Acreditación</w:t>
      </w:r>
      <w:r w:rsidR="00C347C3">
        <w:rPr>
          <w:rFonts w:ascii="Arial Narrow" w:hAnsi="Arial Narrow"/>
          <w:snapToGrid w:val="0"/>
          <w:sz w:val="20"/>
          <w:szCs w:val="20"/>
        </w:rPr>
        <w:t xml:space="preserve"> del IDEAM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, que son relevantes para </w:t>
      </w:r>
      <w:r w:rsidR="00E3296D">
        <w:rPr>
          <w:rFonts w:ascii="Arial Narrow" w:hAnsi="Arial Narrow"/>
          <w:snapToGrid w:val="0"/>
          <w:sz w:val="20"/>
          <w:szCs w:val="20"/>
        </w:rPr>
        <w:t>la realización de auditorías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 acreditación</w:t>
      </w:r>
      <w:r w:rsidR="00C347C3">
        <w:rPr>
          <w:rFonts w:ascii="Arial Narrow" w:hAnsi="Arial Narrow"/>
          <w:snapToGrid w:val="0"/>
          <w:sz w:val="20"/>
          <w:szCs w:val="20"/>
        </w:rPr>
        <w:t xml:space="preserve"> y/o </w:t>
      </w:r>
      <w:r w:rsidR="00FD4E64">
        <w:rPr>
          <w:rFonts w:ascii="Arial Narrow" w:hAnsi="Arial Narrow"/>
          <w:snapToGrid w:val="0"/>
          <w:sz w:val="20"/>
          <w:szCs w:val="20"/>
        </w:rPr>
        <w:t>autorización</w:t>
      </w:r>
      <w:r w:rsidRPr="00500F62">
        <w:rPr>
          <w:rFonts w:ascii="Arial Narrow" w:hAnsi="Arial Narrow"/>
          <w:snapToGrid w:val="0"/>
          <w:sz w:val="20"/>
          <w:szCs w:val="20"/>
        </w:rPr>
        <w:t>; por tal razón, se espera que cumplan con los siguientes principios:</w:t>
      </w:r>
    </w:p>
    <w:p w14:paraId="29BDAA73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C40C256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Honestidad</w:t>
      </w:r>
    </w:p>
    <w:p w14:paraId="0B6C3EC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2B2052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honestidad, los funcionarios y contratistas se comportarán y expresarán en el ámbito de sus relaciones con el Grupo de Acreditación con coherencia y sinceridad y de acuerdo con los valores de verdad y justicia.</w:t>
      </w:r>
    </w:p>
    <w:p w14:paraId="127BA7D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CE2CFAE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Buena fe</w:t>
      </w:r>
    </w:p>
    <w:p w14:paraId="14460142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CAAF98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buena fe, los funcionarios y contratistas actuarán con convicción en cuanto a la verdad o exactitud de sus actividades y opiniones, garantizando en todo caso la rectitud de su conducta.</w:t>
      </w:r>
    </w:p>
    <w:p w14:paraId="26344F0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FC8408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Confidencialidad de la información</w:t>
      </w:r>
    </w:p>
    <w:p w14:paraId="005FEFA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B79C27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El principio de la confidencialidad busca que la información tanto del IDEAM como de </w:t>
      </w:r>
      <w:r w:rsidR="00D155D9">
        <w:rPr>
          <w:rFonts w:ascii="Arial Narrow" w:hAnsi="Arial Narrow"/>
          <w:snapToGrid w:val="0"/>
          <w:sz w:val="20"/>
          <w:szCs w:val="20"/>
        </w:rPr>
        <w:t>los organismos de evaluación de la conformidad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a la que tienen acceso los funcionarios y contratistas solo pueda ser conocida por miembros de la misma y no podrá divulgarse externamente sin previa autorización. Así mismo, busca que la información obtenida en desarrollo de las labores encomendadas sea utilizada exclusivamente para los fines previamente determinados por el IDEAM.</w:t>
      </w:r>
    </w:p>
    <w:p w14:paraId="09273A0A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0EA407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Legalidad</w:t>
      </w:r>
    </w:p>
    <w:p w14:paraId="75B7DCD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9A0D6A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legalidad, los funcionarios y contratistas actuarán en todo momento con el estricto cumplimiento de la ley y de la reglamentación interna del IDEAM.</w:t>
      </w:r>
    </w:p>
    <w:p w14:paraId="1A5708A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7F3B58E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Protección de la propiedad intelectual</w:t>
      </w:r>
    </w:p>
    <w:p w14:paraId="7B88B59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6AC4E9B" w14:textId="3D0C940B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En virtud del principio de protección de la propiedad intelectual, los funcionarios y contratistas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deben asegurar el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cumplimiento de las normas nacionales y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convenciones internacionales sobre los derechos de autor, propiedad industrial e intelectual.</w:t>
      </w:r>
    </w:p>
    <w:p w14:paraId="5B5072D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852767A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Respeto</w:t>
      </w:r>
    </w:p>
    <w:p w14:paraId="4E97EE0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59355D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respeto, los funcionarios y contratistas mantendrán en todas sus relaciones un trato respetuoso, amable y cortés.</w:t>
      </w:r>
    </w:p>
    <w:p w14:paraId="7051D886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EEC7356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011580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Imparcialidad</w:t>
      </w:r>
    </w:p>
    <w:p w14:paraId="546AB75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D088AA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imparcialidad, los funcionarios y contratistas se caracterizarán en todas sus actuaciones por su rectitud y manejo equitativo e i</w:t>
      </w:r>
      <w:r w:rsidR="002F7CC9">
        <w:rPr>
          <w:rFonts w:ascii="Arial Narrow" w:hAnsi="Arial Narrow"/>
          <w:snapToGrid w:val="0"/>
          <w:sz w:val="20"/>
          <w:szCs w:val="20"/>
        </w:rPr>
        <w:t>gualitario con todos los organismos</w:t>
      </w:r>
      <w:r w:rsidR="009045BC">
        <w:rPr>
          <w:rFonts w:ascii="Arial Narrow" w:hAnsi="Arial Narrow"/>
          <w:snapToGrid w:val="0"/>
          <w:sz w:val="20"/>
          <w:szCs w:val="20"/>
        </w:rPr>
        <w:t xml:space="preserve"> de evaluación de la conformidad</w:t>
      </w:r>
      <w:r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6BBC00C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676E9E0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Responsabilidad</w:t>
      </w:r>
    </w:p>
    <w:p w14:paraId="3AF6FB89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01C8359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responsabilidad, los funcionarios y contratistas responderán con la suficiente diligencia y cuidado por las acciones y omisiones en el desarrollo de sus funciones.</w:t>
      </w:r>
    </w:p>
    <w:p w14:paraId="50E7B93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4BA0CB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0867AC2" w14:textId="77777777" w:rsidR="00500F62" w:rsidRPr="009045BC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045BC">
        <w:rPr>
          <w:rFonts w:ascii="Arial Narrow" w:hAnsi="Arial Narrow"/>
          <w:b/>
          <w:snapToGrid w:val="0"/>
          <w:sz w:val="20"/>
          <w:szCs w:val="20"/>
        </w:rPr>
        <w:t>4. Reglas de Conducta de los funcionarios y contratistas del Grupo de Acreditación del IDEAM</w:t>
      </w:r>
    </w:p>
    <w:p w14:paraId="522039B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95422FD" w14:textId="21C65CA5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En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virtud del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principio de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honestidad los funcionarios y </w:t>
      </w:r>
      <w:r w:rsidR="009045BC">
        <w:rPr>
          <w:rFonts w:ascii="Arial Narrow" w:hAnsi="Arial Narrow"/>
          <w:snapToGrid w:val="0"/>
          <w:sz w:val="20"/>
          <w:szCs w:val="20"/>
        </w:rPr>
        <w:t xml:space="preserve">contratistas no </w:t>
      </w:r>
      <w:r w:rsidR="00704658">
        <w:rPr>
          <w:rFonts w:ascii="Arial Narrow" w:hAnsi="Arial Narrow"/>
          <w:snapToGrid w:val="0"/>
          <w:sz w:val="20"/>
          <w:szCs w:val="20"/>
        </w:rPr>
        <w:t>podrán recibir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remuneración, dádivas, o cualquier otro tipo de compensación en dinero o especie por parte de cualquier persona jurídica o natural, en razón </w:t>
      </w:r>
      <w:r w:rsidR="009045BC">
        <w:rPr>
          <w:rFonts w:ascii="Arial Narrow" w:hAnsi="Arial Narrow"/>
          <w:snapToGrid w:val="0"/>
          <w:sz w:val="20"/>
          <w:szCs w:val="20"/>
        </w:rPr>
        <w:t xml:space="preserve">del </w:t>
      </w:r>
      <w:r w:rsidRPr="00500F62">
        <w:rPr>
          <w:rFonts w:ascii="Arial Narrow" w:hAnsi="Arial Narrow"/>
          <w:snapToGrid w:val="0"/>
          <w:sz w:val="20"/>
          <w:szCs w:val="20"/>
        </w:rPr>
        <w:t>servicio prestado por el IDEAM.</w:t>
      </w:r>
    </w:p>
    <w:p w14:paraId="6BCF0C2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1119ED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buena fe los funcionarios y contratistas deben obrar con buena fe, con responsabilidad, con profesionalismo, con lealtad y con la diligencia y el cuidado de un buen hombre de negocios, velando por los intereses del IDEAM.</w:t>
      </w:r>
    </w:p>
    <w:p w14:paraId="1C06746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EAC1093" w14:textId="64270873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lastRenderedPageBreak/>
        <w:t xml:space="preserve">En virtud del principio de confidencialidad los funcionarios y contratistas no podrán utilizar indebidamente la información privilegiada o confidencial para obtener provecho o salvaguardar intereses individuales o de terceros. Así mismo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se abstendrán de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comentar temas relacionados con proceso de acreditación</w:t>
      </w:r>
      <w:r w:rsidR="0014569B">
        <w:rPr>
          <w:rFonts w:ascii="Arial Narrow" w:hAnsi="Arial Narrow"/>
          <w:snapToGrid w:val="0"/>
          <w:sz w:val="20"/>
          <w:szCs w:val="20"/>
        </w:rPr>
        <w:t xml:space="preserve"> o autorización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y su desarrollo, con el personal ajeno al IDEAM, incluyendo amigos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y parientes</w:t>
      </w:r>
      <w:r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6A049A20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D99A12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legalidad los funcionarios y contratistas actuarán siempre con el debido respeto de los requisitos legales existentes y no aconsejarán o intervendrán en situaciones que permitan, amparen o faciliten actos incorrectos o punibles, o que puedan utilizarse para confundir o sorprender la buena fe de terceros, o usarse en forma contraria al interés público o a los intereses del IDEAM.</w:t>
      </w:r>
    </w:p>
    <w:p w14:paraId="19C75139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E83B03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protección de la propiedad intelectual los funcionarios y contratistas deben respetar los procedimientos internos que sobre la materia tenga el IDEAM, y no utilizar en el ejercicio de sus actividades, sin la debida autorización de titular, autor o dueño, obras, marcas, patentes, diseños industriales, lemas, nombres y enseñas comerciales.</w:t>
      </w:r>
    </w:p>
    <w:p w14:paraId="6D0B931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0165E73" w14:textId="672046FE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respeto los funcionarios y contratistas deben tratar de manera respetuosa a los demás funcionarios y contratistas del IDEAM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, así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como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a usuarios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="003F2989">
        <w:rPr>
          <w:rFonts w:ascii="Arial Narrow" w:hAnsi="Arial Narrow"/>
          <w:snapToGrid w:val="0"/>
          <w:sz w:val="20"/>
          <w:szCs w:val="20"/>
        </w:rPr>
        <w:t>de las auditorías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acreditación y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demás personas con las que tengan contacto.</w:t>
      </w:r>
    </w:p>
    <w:p w14:paraId="2532491B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52B56D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En virtud del principio de imparcialidad los funcionarios y contratistas deberán abstenerse de participar en situaciones que impliquen conflictos de interés para ellos o para el IDEAM. Así mismo se abstendrán de realizar asesorías, consultorías y auditorías internas a los </w:t>
      </w:r>
      <w:r w:rsidR="002857D1">
        <w:rPr>
          <w:rFonts w:ascii="Arial Narrow" w:hAnsi="Arial Narrow"/>
          <w:snapToGrid w:val="0"/>
          <w:sz w:val="20"/>
          <w:szCs w:val="20"/>
        </w:rPr>
        <w:t>organismos de evaluación de la conformidad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acreditados por el IDEAM.</w:t>
      </w:r>
    </w:p>
    <w:p w14:paraId="3AB0561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9E4A41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En virtud del principio de responsabilidad los funcionarios y contratistas deberán realizar los trabajos o labores encomendadas con total responsabilidad profesional, de manera oportuna, completa y adecuada cumpliendo con todas las indicaciones entregadas por el IDEAM y de acuerdo con los requisitos legales vigentes.</w:t>
      </w:r>
    </w:p>
    <w:p w14:paraId="73774B4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29110CE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23E9975" w14:textId="36A3D9F2" w:rsidR="00500F62" w:rsidRPr="002857D1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2857D1">
        <w:rPr>
          <w:rFonts w:ascii="Arial Narrow" w:hAnsi="Arial Narrow"/>
          <w:b/>
          <w:snapToGrid w:val="0"/>
          <w:sz w:val="20"/>
          <w:szCs w:val="20"/>
        </w:rPr>
        <w:t xml:space="preserve">5. Declaración de impedimentos para </w:t>
      </w:r>
      <w:r w:rsidR="000A1541">
        <w:rPr>
          <w:rFonts w:ascii="Arial Narrow" w:hAnsi="Arial Narrow"/>
          <w:b/>
          <w:snapToGrid w:val="0"/>
          <w:sz w:val="20"/>
          <w:szCs w:val="20"/>
        </w:rPr>
        <w:t>realizar auditorías</w:t>
      </w:r>
      <w:r w:rsidRPr="002857D1">
        <w:rPr>
          <w:rFonts w:ascii="Arial Narrow" w:hAnsi="Arial Narrow"/>
          <w:b/>
          <w:snapToGrid w:val="0"/>
          <w:sz w:val="20"/>
          <w:szCs w:val="20"/>
        </w:rPr>
        <w:t xml:space="preserve"> de acreditación</w:t>
      </w:r>
      <w:r w:rsidR="000A1541">
        <w:rPr>
          <w:rFonts w:ascii="Arial Narrow" w:hAnsi="Arial Narrow"/>
          <w:b/>
          <w:snapToGrid w:val="0"/>
          <w:sz w:val="20"/>
          <w:szCs w:val="20"/>
        </w:rPr>
        <w:t xml:space="preserve"> o autorización</w:t>
      </w:r>
    </w:p>
    <w:p w14:paraId="4692098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B853D36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Los funcionarios y contratistas deberán declararse impedidos para ejecutar </w:t>
      </w:r>
      <w:r w:rsidR="00FD4E64">
        <w:rPr>
          <w:rFonts w:ascii="Arial Narrow" w:hAnsi="Arial Narrow"/>
          <w:snapToGrid w:val="0"/>
          <w:sz w:val="20"/>
          <w:szCs w:val="20"/>
        </w:rPr>
        <w:t>una auditoría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 acreditación o autorización en nombre del IDEAM, cuando se presente algún caso que implique inhabilidad o incompatibilidad de cualquier tipo, entendidas como circunstancias que afecten o restrinjan o determinen la libre, imparcial y espontánea actuación frente a </w:t>
      </w:r>
      <w:r w:rsidR="005F4996" w:rsidRPr="00500F62">
        <w:rPr>
          <w:rFonts w:ascii="Arial Narrow" w:hAnsi="Arial Narrow"/>
          <w:snapToGrid w:val="0"/>
          <w:sz w:val="20"/>
          <w:szCs w:val="20"/>
        </w:rPr>
        <w:t xml:space="preserve">un organismo de evaluación de la conformidad acreditado </w:t>
      </w:r>
      <w:r w:rsidR="00663D34">
        <w:rPr>
          <w:rFonts w:ascii="Arial Narrow" w:hAnsi="Arial Narrow"/>
          <w:snapToGrid w:val="0"/>
          <w:sz w:val="20"/>
          <w:szCs w:val="20"/>
        </w:rPr>
        <w:t xml:space="preserve">o autorizado </w:t>
      </w:r>
      <w:r w:rsidR="005F4996" w:rsidRPr="00500F62">
        <w:rPr>
          <w:rFonts w:ascii="Arial Narrow" w:hAnsi="Arial Narrow"/>
          <w:snapToGrid w:val="0"/>
          <w:sz w:val="20"/>
          <w:szCs w:val="20"/>
        </w:rPr>
        <w:t>por el IDEAM</w:t>
      </w:r>
      <w:r w:rsidRPr="00500F62">
        <w:rPr>
          <w:rFonts w:ascii="Arial Narrow" w:hAnsi="Arial Narrow"/>
          <w:snapToGrid w:val="0"/>
          <w:sz w:val="20"/>
          <w:szCs w:val="20"/>
        </w:rPr>
        <w:t>, como en los siguientes casos:</w:t>
      </w:r>
    </w:p>
    <w:p w14:paraId="718A3C6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F3BF197" w14:textId="0E583126" w:rsid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- Cuando haya prestado servicios de consultoría</w:t>
      </w:r>
      <w:r w:rsidR="002D50C1">
        <w:rPr>
          <w:rFonts w:ascii="Arial Narrow" w:hAnsi="Arial Narrow"/>
          <w:snapToGrid w:val="0"/>
          <w:sz w:val="20"/>
          <w:szCs w:val="20"/>
        </w:rPr>
        <w:t xml:space="preserve">, </w:t>
      </w:r>
      <w:r w:rsidR="00663D34">
        <w:rPr>
          <w:rFonts w:ascii="Arial Narrow" w:hAnsi="Arial Narrow"/>
          <w:snapToGrid w:val="0"/>
          <w:sz w:val="20"/>
          <w:szCs w:val="20"/>
        </w:rPr>
        <w:t>asesoría</w:t>
      </w:r>
      <w:r w:rsidR="009C5C1B">
        <w:rPr>
          <w:rFonts w:ascii="Arial Narrow" w:hAnsi="Arial Narrow"/>
          <w:snapToGrid w:val="0"/>
          <w:sz w:val="20"/>
          <w:szCs w:val="20"/>
        </w:rPr>
        <w:t xml:space="preserve"> o auditoría interna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en un organismo de evaluación de la conformidad acreditado</w:t>
      </w:r>
      <w:r w:rsidR="00663D34">
        <w:rPr>
          <w:rFonts w:ascii="Arial Narrow" w:hAnsi="Arial Narrow"/>
          <w:snapToGrid w:val="0"/>
          <w:sz w:val="20"/>
          <w:szCs w:val="20"/>
        </w:rPr>
        <w:t xml:space="preserve"> o autorizado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por el IDEAM. Esta limitación tendrá una duración de tres (3) años, contados a partir de la finalización de la prestación del servicio de consultoría</w:t>
      </w:r>
      <w:r w:rsidR="002D50C1">
        <w:rPr>
          <w:rFonts w:ascii="Arial Narrow" w:hAnsi="Arial Narrow"/>
          <w:snapToGrid w:val="0"/>
          <w:sz w:val="20"/>
          <w:szCs w:val="20"/>
        </w:rPr>
        <w:t xml:space="preserve">, </w:t>
      </w:r>
      <w:r w:rsidR="00663D34">
        <w:rPr>
          <w:rFonts w:ascii="Arial Narrow" w:hAnsi="Arial Narrow"/>
          <w:snapToGrid w:val="0"/>
          <w:sz w:val="20"/>
          <w:szCs w:val="20"/>
        </w:rPr>
        <w:t>asesoría</w:t>
      </w:r>
      <w:r w:rsidR="001C5858">
        <w:rPr>
          <w:rFonts w:ascii="Arial Narrow" w:hAnsi="Arial Narrow"/>
          <w:snapToGrid w:val="0"/>
          <w:sz w:val="20"/>
          <w:szCs w:val="20"/>
        </w:rPr>
        <w:t xml:space="preserve"> o auditoría interna</w:t>
      </w:r>
      <w:r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19B01449" w14:textId="77777777" w:rsidR="002D50C1" w:rsidRDefault="002D50C1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306F39D" w14:textId="77777777" w:rsidR="002D50C1" w:rsidRPr="002D50C1" w:rsidRDefault="002D50C1" w:rsidP="002D50C1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2D50C1">
        <w:rPr>
          <w:rFonts w:ascii="Arial Narrow" w:hAnsi="Arial Narrow"/>
          <w:snapToGrid w:val="0"/>
          <w:sz w:val="20"/>
          <w:szCs w:val="20"/>
        </w:rPr>
        <w:t>-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Pr="002D50C1">
        <w:rPr>
          <w:rFonts w:ascii="Arial Narrow" w:hAnsi="Arial Narrow"/>
          <w:snapToGrid w:val="0"/>
          <w:sz w:val="20"/>
          <w:szCs w:val="20"/>
        </w:rPr>
        <w:t xml:space="preserve">Cuando </w:t>
      </w:r>
      <w:r>
        <w:rPr>
          <w:rFonts w:ascii="Arial Narrow" w:hAnsi="Arial Narrow"/>
          <w:snapToGrid w:val="0"/>
          <w:sz w:val="20"/>
          <w:szCs w:val="20"/>
        </w:rPr>
        <w:t xml:space="preserve">haya laborado </w:t>
      </w:r>
      <w:r w:rsidRPr="00500F62">
        <w:rPr>
          <w:rFonts w:ascii="Arial Narrow" w:hAnsi="Arial Narrow"/>
          <w:snapToGrid w:val="0"/>
          <w:sz w:val="20"/>
          <w:szCs w:val="20"/>
        </w:rPr>
        <w:t>en un organismo de evaluación de la conformidad acreditado</w:t>
      </w:r>
      <w:r>
        <w:rPr>
          <w:rFonts w:ascii="Arial Narrow" w:hAnsi="Arial Narrow"/>
          <w:snapToGrid w:val="0"/>
          <w:sz w:val="20"/>
          <w:szCs w:val="20"/>
        </w:rPr>
        <w:t xml:space="preserve"> o autorizado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por el IDEAM. Esta limitación tendrá una duración de tres (3) años, cont</w:t>
      </w:r>
      <w:r>
        <w:rPr>
          <w:rFonts w:ascii="Arial Narrow" w:hAnsi="Arial Narrow"/>
          <w:snapToGrid w:val="0"/>
          <w:sz w:val="20"/>
          <w:szCs w:val="20"/>
        </w:rPr>
        <w:t>ados a partir de la terminación del contrato laboral.</w:t>
      </w:r>
    </w:p>
    <w:p w14:paraId="0CBC7F4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366B1424" w14:textId="335A7C96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- Cuando en el organismo de evaluación de la conformidad en el que se va a </w:t>
      </w:r>
      <w:r w:rsidR="009C5C1B">
        <w:rPr>
          <w:rFonts w:ascii="Arial Narrow" w:hAnsi="Arial Narrow"/>
          <w:snapToGrid w:val="0"/>
          <w:sz w:val="20"/>
          <w:szCs w:val="20"/>
        </w:rPr>
        <w:t>realizar la auditoría</w:t>
      </w:r>
      <w:r w:rsidR="00663D34">
        <w:rPr>
          <w:rFonts w:ascii="Arial Narrow" w:hAnsi="Arial Narrow"/>
          <w:snapToGrid w:val="0"/>
          <w:sz w:val="20"/>
          <w:szCs w:val="20"/>
        </w:rPr>
        <w:t xml:space="preserve"> de acreditación o autorización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trabajen familiares del fun</w:t>
      </w:r>
      <w:r w:rsidR="009C5C1B">
        <w:rPr>
          <w:rFonts w:ascii="Arial Narrow" w:hAnsi="Arial Narrow"/>
          <w:snapToGrid w:val="0"/>
          <w:sz w:val="20"/>
          <w:szCs w:val="20"/>
        </w:rPr>
        <w:t>cionario o contratista hasta en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tercer grado de </w:t>
      </w:r>
      <w:r w:rsidR="006825AA" w:rsidRPr="00500F62">
        <w:rPr>
          <w:rFonts w:ascii="Arial Narrow" w:hAnsi="Arial Narrow"/>
          <w:snapToGrid w:val="0"/>
          <w:sz w:val="20"/>
          <w:szCs w:val="20"/>
        </w:rPr>
        <w:t>consanguinidad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o se</w:t>
      </w:r>
      <w:r w:rsidR="00EF5A24">
        <w:rPr>
          <w:rFonts w:ascii="Arial Narrow" w:hAnsi="Arial Narrow"/>
          <w:snapToGrid w:val="0"/>
          <w:sz w:val="20"/>
          <w:szCs w:val="20"/>
        </w:rPr>
        <w:t>gundo de afinidad o único civil, su cónyuge o compañero permanente.</w:t>
      </w:r>
    </w:p>
    <w:p w14:paraId="44F08B02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B11B513" w14:textId="37DC0EFA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- Cuando dentro del organismo de evaluación de la conformidad acreditado </w:t>
      </w:r>
      <w:r w:rsidR="00663D34">
        <w:rPr>
          <w:rFonts w:ascii="Arial Narrow" w:hAnsi="Arial Narrow"/>
          <w:snapToGrid w:val="0"/>
          <w:sz w:val="20"/>
          <w:szCs w:val="20"/>
        </w:rPr>
        <w:t xml:space="preserve">o autorizado 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por el IDEAM en </w:t>
      </w:r>
      <w:r w:rsidR="00663D34">
        <w:rPr>
          <w:rFonts w:ascii="Arial Narrow" w:hAnsi="Arial Narrow"/>
          <w:snapToGrid w:val="0"/>
          <w:sz w:val="20"/>
          <w:szCs w:val="20"/>
        </w:rPr>
        <w:t>el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que se va a </w:t>
      </w:r>
      <w:r w:rsidR="007A6F61">
        <w:rPr>
          <w:rFonts w:ascii="Arial Narrow" w:hAnsi="Arial Narrow"/>
          <w:snapToGrid w:val="0"/>
          <w:sz w:val="20"/>
          <w:szCs w:val="20"/>
        </w:rPr>
        <w:t>realizar la auditoría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="00663D34">
        <w:rPr>
          <w:rFonts w:ascii="Arial Narrow" w:hAnsi="Arial Narrow"/>
          <w:snapToGrid w:val="0"/>
          <w:sz w:val="20"/>
          <w:szCs w:val="20"/>
        </w:rPr>
        <w:t>de acreditación o autorización</w:t>
      </w:r>
      <w:r w:rsidR="007A6F61">
        <w:rPr>
          <w:rFonts w:ascii="Arial Narrow" w:hAnsi="Arial Narrow"/>
          <w:snapToGrid w:val="0"/>
          <w:sz w:val="20"/>
          <w:szCs w:val="20"/>
        </w:rPr>
        <w:t>,</w:t>
      </w:r>
      <w:r w:rsidR="00663D34">
        <w:rPr>
          <w:rFonts w:ascii="Arial Narrow" w:hAnsi="Arial Narrow"/>
          <w:snapToGrid w:val="0"/>
          <w:sz w:val="20"/>
          <w:szCs w:val="20"/>
        </w:rPr>
        <w:t xml:space="preserve"> 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el </w:t>
      </w:r>
      <w:r w:rsidR="00663D34">
        <w:rPr>
          <w:rFonts w:ascii="Arial Narrow" w:hAnsi="Arial Narrow"/>
          <w:snapToGrid w:val="0"/>
          <w:sz w:val="20"/>
          <w:szCs w:val="20"/>
        </w:rPr>
        <w:t>funcionario o contratista o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sus parientes hasta en cuarto grado de </w:t>
      </w:r>
      <w:r w:rsidR="006825AA" w:rsidRPr="00500F62">
        <w:rPr>
          <w:rFonts w:ascii="Arial Narrow" w:hAnsi="Arial Narrow"/>
          <w:snapToGrid w:val="0"/>
          <w:sz w:val="20"/>
          <w:szCs w:val="20"/>
        </w:rPr>
        <w:t>consanguinidad</w:t>
      </w:r>
      <w:r w:rsidRPr="00500F62">
        <w:rPr>
          <w:rFonts w:ascii="Arial Narrow" w:hAnsi="Arial Narrow"/>
          <w:snapToGrid w:val="0"/>
          <w:sz w:val="20"/>
          <w:szCs w:val="20"/>
        </w:rPr>
        <w:t>, terc</w:t>
      </w:r>
      <w:r w:rsidR="00EF5A24">
        <w:rPr>
          <w:rFonts w:ascii="Arial Narrow" w:hAnsi="Arial Narrow"/>
          <w:snapToGrid w:val="0"/>
          <w:sz w:val="20"/>
          <w:szCs w:val="20"/>
        </w:rPr>
        <w:t>ero de afinidad o primero civil, su cónyuge o compañero permanente</w:t>
      </w:r>
      <w:r w:rsidR="00EF5A24"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Pr="00500F62">
        <w:rPr>
          <w:rFonts w:ascii="Arial Narrow" w:hAnsi="Arial Narrow"/>
          <w:snapToGrid w:val="0"/>
          <w:sz w:val="20"/>
          <w:szCs w:val="20"/>
        </w:rPr>
        <w:t>tengan cualquier tipo de colaboración o interés.</w:t>
      </w:r>
    </w:p>
    <w:p w14:paraId="515C829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50A3816" w14:textId="49FC42F5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- Cuando la </w:t>
      </w:r>
      <w:r w:rsidR="007A6F61">
        <w:rPr>
          <w:rFonts w:ascii="Arial Narrow" w:hAnsi="Arial Narrow"/>
          <w:snapToGrid w:val="0"/>
          <w:sz w:val="20"/>
          <w:szCs w:val="20"/>
        </w:rPr>
        <w:t>auditoría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="00653038">
        <w:rPr>
          <w:rFonts w:ascii="Arial Narrow" w:hAnsi="Arial Narrow"/>
          <w:snapToGrid w:val="0"/>
          <w:sz w:val="20"/>
          <w:szCs w:val="20"/>
        </w:rPr>
        <w:t xml:space="preserve">de acreditación o autorización </w:t>
      </w:r>
      <w:r w:rsidR="007A6F61">
        <w:rPr>
          <w:rFonts w:ascii="Arial Narrow" w:hAnsi="Arial Narrow"/>
          <w:snapToGrid w:val="0"/>
          <w:sz w:val="20"/>
          <w:szCs w:val="20"/>
        </w:rPr>
        <w:t>encomendada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implique un conflicto de interés de cualquier naturaleza para los funcionarios o contratistas del IDEAM.</w:t>
      </w:r>
    </w:p>
    <w:p w14:paraId="5416996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207F677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686D1E1" w14:textId="77777777" w:rsidR="00500F62" w:rsidRPr="00A06807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A06807">
        <w:rPr>
          <w:rFonts w:ascii="Arial Narrow" w:hAnsi="Arial Narrow"/>
          <w:b/>
          <w:snapToGrid w:val="0"/>
          <w:sz w:val="20"/>
          <w:szCs w:val="20"/>
        </w:rPr>
        <w:lastRenderedPageBreak/>
        <w:t>6. Conflictos de interés</w:t>
      </w:r>
    </w:p>
    <w:p w14:paraId="7D2E6361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7A76B60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Un conflicto de interés es toda situación en la cual no es posible satisfacer simultáneamente dos intereses: el propio y el de la entidad</w:t>
      </w:r>
      <w:r w:rsidR="00312DAE">
        <w:rPr>
          <w:rFonts w:ascii="Arial Narrow" w:hAnsi="Arial Narrow"/>
          <w:snapToGrid w:val="0"/>
          <w:sz w:val="20"/>
          <w:szCs w:val="20"/>
        </w:rPr>
        <w:t xml:space="preserve"> con la cual se tiene vínculo laboral o contractual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. </w:t>
      </w:r>
      <w:r w:rsidR="00312DAE">
        <w:rPr>
          <w:rFonts w:ascii="Arial Narrow" w:hAnsi="Arial Narrow"/>
          <w:snapToGrid w:val="0"/>
          <w:sz w:val="20"/>
          <w:szCs w:val="20"/>
        </w:rPr>
        <w:t>Para el caso en particular, el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conflicto de interés surge cuando se tiene un interés personal o comercial que interfiere o que afecta su juicio independiente y objetividad en relación con los mejores intereses de</w:t>
      </w:r>
      <w:r w:rsidR="00312DAE">
        <w:rPr>
          <w:rFonts w:ascii="Arial Narrow" w:hAnsi="Arial Narrow"/>
          <w:snapToGrid w:val="0"/>
          <w:sz w:val="20"/>
          <w:szCs w:val="20"/>
        </w:rPr>
        <w:t>l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</w:t>
      </w:r>
      <w:r w:rsidR="00312DAE">
        <w:rPr>
          <w:rFonts w:ascii="Arial Narrow" w:hAnsi="Arial Narrow"/>
          <w:snapToGrid w:val="0"/>
          <w:sz w:val="20"/>
          <w:szCs w:val="20"/>
        </w:rPr>
        <w:t>IDEAM, es decir, con las funciones del IDEAM.</w:t>
      </w:r>
    </w:p>
    <w:p w14:paraId="6CCF2933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26C75F2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Se entenderá que existe conflicto de intereses, entre otros:</w:t>
      </w:r>
    </w:p>
    <w:p w14:paraId="75F5BED2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6FA66C6E" w14:textId="1CBE7E75" w:rsidR="00500F62" w:rsidRPr="00500F62" w:rsidRDefault="00F8124C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>-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Cuando en </w:t>
      </w:r>
      <w:r w:rsidR="00ED5D78">
        <w:rPr>
          <w:rFonts w:ascii="Arial Narrow" w:hAnsi="Arial Narrow"/>
          <w:snapToGrid w:val="0"/>
          <w:sz w:val="20"/>
          <w:szCs w:val="20"/>
        </w:rPr>
        <w:t xml:space="preserve">la </w:t>
      </w:r>
      <w:r w:rsidR="00D7213F">
        <w:rPr>
          <w:rFonts w:ascii="Arial Narrow" w:hAnsi="Arial Narrow"/>
          <w:snapToGrid w:val="0"/>
          <w:sz w:val="20"/>
          <w:szCs w:val="20"/>
        </w:rPr>
        <w:t>auditoría</w:t>
      </w:r>
      <w:r w:rsidR="00ED5D78">
        <w:rPr>
          <w:rFonts w:ascii="Arial Narrow" w:hAnsi="Arial Narrow"/>
          <w:snapToGrid w:val="0"/>
          <w:sz w:val="20"/>
          <w:szCs w:val="20"/>
        </w:rPr>
        <w:t xml:space="preserve"> de acreditación o autorización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esté involucrado directa o indirectamente un interés dirigido a la obtención de posibles beneficios personales a favor del </w:t>
      </w:r>
      <w:r w:rsidR="00ED5D78">
        <w:rPr>
          <w:rFonts w:ascii="Arial Narrow" w:hAnsi="Arial Narrow"/>
          <w:snapToGrid w:val="0"/>
          <w:sz w:val="20"/>
          <w:szCs w:val="20"/>
        </w:rPr>
        <w:t>funcionario o contratista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, de sus parientes (dentro del cuarto grado de consanguinidad, tercero de afinidad o primero civil)</w:t>
      </w:r>
      <w:r w:rsidR="007D16BC">
        <w:rPr>
          <w:rFonts w:ascii="Arial Narrow" w:hAnsi="Arial Narrow"/>
          <w:snapToGrid w:val="0"/>
          <w:sz w:val="20"/>
          <w:szCs w:val="20"/>
        </w:rPr>
        <w:t>, cónyuge, compañero permanente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o de cualquier otro tercero con el cual tenga una relación personal, profesional o económica que resulten incompatibles con los intereses del </w:t>
      </w:r>
      <w:r w:rsidR="00ED5D78">
        <w:rPr>
          <w:rFonts w:ascii="Arial Narrow" w:hAnsi="Arial Narrow"/>
          <w:snapToGrid w:val="0"/>
          <w:sz w:val="20"/>
          <w:szCs w:val="20"/>
        </w:rPr>
        <w:t>IDEAM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5E9AB8C3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0AEF3F8" w14:textId="77777777" w:rsidR="00500F62" w:rsidRDefault="00F8124C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>-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Cuando se acepten dádivas o beneficios de cualquier </w:t>
      </w:r>
      <w:r w:rsidR="00352DD0">
        <w:rPr>
          <w:rFonts w:ascii="Arial Narrow" w:hAnsi="Arial Narrow"/>
          <w:snapToGrid w:val="0"/>
          <w:sz w:val="20"/>
          <w:szCs w:val="20"/>
        </w:rPr>
        <w:t xml:space="preserve">clase provenientes de </w:t>
      </w:r>
      <w:r w:rsidR="003E2334">
        <w:rPr>
          <w:rFonts w:ascii="Arial Narrow" w:hAnsi="Arial Narrow"/>
          <w:snapToGrid w:val="0"/>
          <w:sz w:val="20"/>
          <w:szCs w:val="20"/>
        </w:rPr>
        <w:t>organismo</w:t>
      </w:r>
      <w:r w:rsidR="00352DD0">
        <w:rPr>
          <w:rFonts w:ascii="Arial Narrow" w:hAnsi="Arial Narrow"/>
          <w:snapToGrid w:val="0"/>
          <w:sz w:val="20"/>
          <w:szCs w:val="20"/>
        </w:rPr>
        <w:t>s</w:t>
      </w:r>
      <w:r w:rsidR="003E2334">
        <w:rPr>
          <w:rFonts w:ascii="Arial Narrow" w:hAnsi="Arial Narrow"/>
          <w:snapToGrid w:val="0"/>
          <w:sz w:val="20"/>
          <w:szCs w:val="20"/>
        </w:rPr>
        <w:t xml:space="preserve"> de evaluación de la conformidad </w:t>
      </w:r>
      <w:r w:rsidR="00EF22FB">
        <w:rPr>
          <w:rFonts w:ascii="Arial Narrow" w:hAnsi="Arial Narrow"/>
          <w:snapToGrid w:val="0"/>
          <w:sz w:val="20"/>
          <w:szCs w:val="20"/>
        </w:rPr>
        <w:t>acreditado</w:t>
      </w:r>
      <w:r w:rsidR="00352DD0">
        <w:rPr>
          <w:rFonts w:ascii="Arial Narrow" w:hAnsi="Arial Narrow"/>
          <w:snapToGrid w:val="0"/>
          <w:sz w:val="20"/>
          <w:szCs w:val="20"/>
        </w:rPr>
        <w:t>s</w:t>
      </w:r>
      <w:r w:rsidR="00EF22FB">
        <w:rPr>
          <w:rFonts w:ascii="Arial Narrow" w:hAnsi="Arial Narrow"/>
          <w:snapToGrid w:val="0"/>
          <w:sz w:val="20"/>
          <w:szCs w:val="20"/>
        </w:rPr>
        <w:t xml:space="preserve"> o autorizado</w:t>
      </w:r>
      <w:r w:rsidR="00352DD0">
        <w:rPr>
          <w:rFonts w:ascii="Arial Narrow" w:hAnsi="Arial Narrow"/>
          <w:snapToGrid w:val="0"/>
          <w:sz w:val="20"/>
          <w:szCs w:val="20"/>
        </w:rPr>
        <w:t>s</w:t>
      </w:r>
      <w:r w:rsidR="003B2365">
        <w:rPr>
          <w:rFonts w:ascii="Arial Narrow" w:hAnsi="Arial Narrow"/>
          <w:snapToGrid w:val="0"/>
          <w:sz w:val="20"/>
          <w:szCs w:val="20"/>
        </w:rPr>
        <w:t xml:space="preserve"> por</w:t>
      </w:r>
      <w:r w:rsidR="00EF22FB">
        <w:rPr>
          <w:rFonts w:ascii="Arial Narrow" w:hAnsi="Arial Narrow"/>
          <w:snapToGrid w:val="0"/>
          <w:sz w:val="20"/>
          <w:szCs w:val="20"/>
        </w:rPr>
        <w:t xml:space="preserve"> el IDEAM.</w:t>
      </w:r>
    </w:p>
    <w:p w14:paraId="02D256DA" w14:textId="77777777" w:rsidR="003E2334" w:rsidRDefault="003E2334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A5A9015" w14:textId="77777777" w:rsidR="003E2334" w:rsidRPr="00F8124C" w:rsidRDefault="00F8124C" w:rsidP="00F8124C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F8124C">
        <w:rPr>
          <w:rFonts w:ascii="Arial Narrow" w:hAnsi="Arial Narrow"/>
          <w:snapToGrid w:val="0"/>
          <w:sz w:val="20"/>
          <w:szCs w:val="20"/>
        </w:rPr>
        <w:t>-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="003E2334" w:rsidRPr="00F8124C">
        <w:rPr>
          <w:rFonts w:ascii="Arial Narrow" w:hAnsi="Arial Narrow"/>
          <w:snapToGrid w:val="0"/>
          <w:sz w:val="20"/>
          <w:szCs w:val="20"/>
        </w:rPr>
        <w:t xml:space="preserve">Cuando se acepten dádivas o beneficios de cualquier clase provenientes de terceros que tengan o puedan tener relaciones o </w:t>
      </w:r>
      <w:r w:rsidR="00352DD0" w:rsidRPr="00F8124C">
        <w:rPr>
          <w:rFonts w:ascii="Arial Narrow" w:hAnsi="Arial Narrow"/>
          <w:snapToGrid w:val="0"/>
          <w:sz w:val="20"/>
          <w:szCs w:val="20"/>
        </w:rPr>
        <w:t xml:space="preserve">convenios </w:t>
      </w:r>
      <w:r w:rsidR="00C55160" w:rsidRPr="00F8124C">
        <w:rPr>
          <w:rFonts w:ascii="Arial Narrow" w:hAnsi="Arial Narrow"/>
          <w:snapToGrid w:val="0"/>
          <w:sz w:val="20"/>
          <w:szCs w:val="20"/>
        </w:rPr>
        <w:t>con el IDEAM</w:t>
      </w:r>
      <w:r w:rsidR="003E2334" w:rsidRPr="00F8124C">
        <w:rPr>
          <w:rFonts w:ascii="Arial Narrow" w:hAnsi="Arial Narrow"/>
          <w:snapToGrid w:val="0"/>
          <w:sz w:val="20"/>
          <w:szCs w:val="20"/>
        </w:rPr>
        <w:t>.</w:t>
      </w:r>
    </w:p>
    <w:p w14:paraId="5F5659E2" w14:textId="77777777" w:rsidR="00901172" w:rsidRDefault="0090117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EC3254C" w14:textId="77777777" w:rsidR="00312DAE" w:rsidRDefault="00F8124C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>-</w:t>
      </w:r>
      <w:r w:rsidR="00901172">
        <w:rPr>
          <w:rFonts w:ascii="Arial Narrow" w:hAnsi="Arial Narrow"/>
          <w:snapToGrid w:val="0"/>
          <w:sz w:val="20"/>
          <w:szCs w:val="20"/>
        </w:rPr>
        <w:t xml:space="preserve"> Cuando se han prestado servicios de consultoría, asesoría, capacitación, entrenamiento o auditorías internas en organismos de evaluación de la conformidad acreditados o autorizados</w:t>
      </w:r>
      <w:r w:rsidR="003B2365">
        <w:rPr>
          <w:rFonts w:ascii="Arial Narrow" w:hAnsi="Arial Narrow"/>
          <w:snapToGrid w:val="0"/>
          <w:sz w:val="20"/>
          <w:szCs w:val="20"/>
        </w:rPr>
        <w:t xml:space="preserve"> por</w:t>
      </w:r>
      <w:r w:rsidR="00901172">
        <w:rPr>
          <w:rFonts w:ascii="Arial Narrow" w:hAnsi="Arial Narrow"/>
          <w:snapToGrid w:val="0"/>
          <w:sz w:val="20"/>
          <w:szCs w:val="20"/>
        </w:rPr>
        <w:t xml:space="preserve"> el IDEAM.</w:t>
      </w:r>
    </w:p>
    <w:p w14:paraId="6F7A8130" w14:textId="77777777" w:rsidR="00901172" w:rsidRDefault="0090117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9BB1190" w14:textId="77777777" w:rsidR="00312DAE" w:rsidRPr="00500F62" w:rsidRDefault="00F8124C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>-</w:t>
      </w:r>
      <w:r w:rsidR="00312DAE">
        <w:rPr>
          <w:rFonts w:ascii="Arial Narrow" w:hAnsi="Arial Narrow"/>
          <w:snapToGrid w:val="0"/>
          <w:sz w:val="20"/>
          <w:szCs w:val="20"/>
        </w:rPr>
        <w:t xml:space="preserve"> C</w:t>
      </w:r>
      <w:r w:rsidR="00312DAE" w:rsidRPr="00312DAE">
        <w:rPr>
          <w:rFonts w:ascii="Arial Narrow" w:hAnsi="Arial Narrow"/>
          <w:snapToGrid w:val="0"/>
          <w:sz w:val="20"/>
          <w:szCs w:val="20"/>
        </w:rPr>
        <w:t>ualquiera otra que pueda afectar su imparcialidad o que le permitiera aprovechar indebidamente su posición, deberá, en todos los casos, abstenerse de actuar y declararse impedido.</w:t>
      </w:r>
    </w:p>
    <w:p w14:paraId="289D965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09E011E" w14:textId="1EA57A3E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En caso de que el </w:t>
      </w:r>
      <w:r w:rsidR="00F8124C">
        <w:rPr>
          <w:rFonts w:ascii="Arial Narrow" w:hAnsi="Arial Narrow"/>
          <w:snapToGrid w:val="0"/>
          <w:sz w:val="20"/>
          <w:szCs w:val="20"/>
        </w:rPr>
        <w:t>funcionario o contratista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se encuentre o crea encontrarse en un conflicto de interés deberá </w:t>
      </w:r>
      <w:r w:rsidR="001C14CE">
        <w:rPr>
          <w:rFonts w:ascii="Arial Narrow" w:hAnsi="Arial Narrow"/>
          <w:snapToGrid w:val="0"/>
          <w:sz w:val="20"/>
          <w:szCs w:val="20"/>
        </w:rPr>
        <w:t>inform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arlo por escrito al </w:t>
      </w:r>
      <w:r w:rsidR="00F8124C">
        <w:rPr>
          <w:rFonts w:ascii="Arial Narrow" w:hAnsi="Arial Narrow"/>
          <w:snapToGrid w:val="0"/>
          <w:sz w:val="20"/>
          <w:szCs w:val="20"/>
        </w:rPr>
        <w:t>Subdirector de Estudios Ambientales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del </w:t>
      </w:r>
      <w:r w:rsidR="00F8124C">
        <w:rPr>
          <w:rFonts w:ascii="Arial Narrow" w:hAnsi="Arial Narrow"/>
          <w:snapToGrid w:val="0"/>
          <w:sz w:val="20"/>
          <w:szCs w:val="20"/>
        </w:rPr>
        <w:t>IDEAM</w:t>
      </w:r>
      <w:r w:rsidR="006A058D">
        <w:rPr>
          <w:rFonts w:ascii="Arial Narrow" w:hAnsi="Arial Narrow"/>
          <w:snapToGrid w:val="0"/>
          <w:sz w:val="20"/>
          <w:szCs w:val="20"/>
        </w:rPr>
        <w:t xml:space="preserve"> </w:t>
      </w:r>
      <w:r w:rsidR="00F8124C">
        <w:rPr>
          <w:rFonts w:ascii="Arial Narrow" w:hAnsi="Arial Narrow"/>
          <w:snapToGrid w:val="0"/>
          <w:sz w:val="20"/>
          <w:szCs w:val="20"/>
        </w:rPr>
        <w:t xml:space="preserve">para evitar la actuación de este funcionario o contratista en cualquier trámite del proceso de acreditación o autorización del organismo de evaluación </w:t>
      </w:r>
      <w:r w:rsidR="001C14CE">
        <w:rPr>
          <w:rFonts w:ascii="Arial Narrow" w:hAnsi="Arial Narrow"/>
          <w:snapToGrid w:val="0"/>
          <w:sz w:val="20"/>
          <w:szCs w:val="20"/>
        </w:rPr>
        <w:t xml:space="preserve">de la conformidad </w:t>
      </w:r>
      <w:r w:rsidR="00F8124C">
        <w:rPr>
          <w:rFonts w:ascii="Arial Narrow" w:hAnsi="Arial Narrow"/>
          <w:snapToGrid w:val="0"/>
          <w:sz w:val="20"/>
          <w:szCs w:val="20"/>
        </w:rPr>
        <w:t>sobre el que se declaró el conflicto de interés</w:t>
      </w:r>
      <w:r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089DB07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488AE63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A96D2EC" w14:textId="77777777" w:rsidR="00500F62" w:rsidRPr="00D7213F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D7213F">
        <w:rPr>
          <w:rFonts w:ascii="Arial Narrow" w:hAnsi="Arial Narrow"/>
          <w:b/>
          <w:snapToGrid w:val="0"/>
          <w:sz w:val="20"/>
          <w:szCs w:val="20"/>
        </w:rPr>
        <w:t xml:space="preserve">7. Prohibiciones a los </w:t>
      </w:r>
      <w:r w:rsidR="002F6EED" w:rsidRPr="00D7213F">
        <w:rPr>
          <w:rFonts w:ascii="Arial Narrow" w:hAnsi="Arial Narrow"/>
          <w:b/>
          <w:snapToGrid w:val="0"/>
          <w:sz w:val="20"/>
          <w:szCs w:val="20"/>
        </w:rPr>
        <w:t>funcionarios y contratistas del Grupo de Acreditación</w:t>
      </w:r>
    </w:p>
    <w:p w14:paraId="7726821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1B59D52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En desarrollo de los principios plasmados en el presente documento, los </w:t>
      </w:r>
      <w:r w:rsidR="002F6EED">
        <w:rPr>
          <w:rFonts w:ascii="Arial Narrow" w:hAnsi="Arial Narrow"/>
          <w:snapToGrid w:val="0"/>
          <w:sz w:val="20"/>
          <w:szCs w:val="20"/>
        </w:rPr>
        <w:t>funcionarios y contratistas del Grupo de Acreditación del IDEAM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no podrán incurrir en actuaciones que impliquen conflicto de interés o sean contrarios a los más altos estándares éticos y profesionales, incluyendo, sin que se entienda taxativo, realizar los siguientes actos:</w:t>
      </w:r>
    </w:p>
    <w:p w14:paraId="6053B59A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66AACC4" w14:textId="77777777" w:rsidR="00DD7BFD" w:rsidRDefault="00DD7BFD" w:rsidP="00DD7BFD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DD7BFD">
        <w:rPr>
          <w:rFonts w:ascii="Arial Narrow" w:hAnsi="Arial Narrow"/>
          <w:snapToGrid w:val="0"/>
          <w:sz w:val="20"/>
          <w:szCs w:val="20"/>
        </w:rPr>
        <w:t>-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Pr="00500F62">
        <w:rPr>
          <w:rFonts w:ascii="Arial Narrow" w:hAnsi="Arial Narrow"/>
          <w:snapToGrid w:val="0"/>
          <w:sz w:val="20"/>
          <w:szCs w:val="20"/>
        </w:rPr>
        <w:t>Prestar servicios de consultoría</w:t>
      </w:r>
      <w:r>
        <w:rPr>
          <w:rFonts w:ascii="Arial Narrow" w:hAnsi="Arial Narrow"/>
          <w:snapToGrid w:val="0"/>
          <w:sz w:val="20"/>
          <w:szCs w:val="20"/>
        </w:rPr>
        <w:t>, asesoría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o auditoría interna a un organismo de evaluación de la conformidad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="00AA7DAA">
        <w:rPr>
          <w:rFonts w:ascii="Arial Narrow" w:hAnsi="Arial Narrow"/>
          <w:snapToGrid w:val="0"/>
          <w:sz w:val="20"/>
          <w:szCs w:val="20"/>
        </w:rPr>
        <w:t>acreditado o autorizado</w:t>
      </w:r>
      <w:r>
        <w:rPr>
          <w:rFonts w:ascii="Arial Narrow" w:hAnsi="Arial Narrow"/>
          <w:snapToGrid w:val="0"/>
          <w:sz w:val="20"/>
          <w:szCs w:val="20"/>
        </w:rPr>
        <w:t xml:space="preserve"> por el IDEAM. Esta limitación existirá mientras exista vínculo laboral o contractual con el IDEAM.</w:t>
      </w:r>
    </w:p>
    <w:p w14:paraId="45728A2F" w14:textId="77777777" w:rsidR="00DD7BFD" w:rsidRDefault="00DD7BFD" w:rsidP="00DD7BFD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62C02A4" w14:textId="28603C81" w:rsidR="00500F62" w:rsidRPr="00500F62" w:rsidRDefault="00DD7BFD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DD7BFD">
        <w:rPr>
          <w:rFonts w:ascii="Arial Narrow" w:hAnsi="Arial Narrow"/>
          <w:snapToGrid w:val="0"/>
          <w:sz w:val="20"/>
          <w:szCs w:val="20"/>
        </w:rPr>
        <w:t>-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Prestar servicios de consultoría</w:t>
      </w:r>
      <w:r>
        <w:rPr>
          <w:rFonts w:ascii="Arial Narrow" w:hAnsi="Arial Narrow"/>
          <w:snapToGrid w:val="0"/>
          <w:sz w:val="20"/>
          <w:szCs w:val="20"/>
        </w:rPr>
        <w:t>, asesoría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o auditoría interna a un organismo de evaluación de la conformidad</w:t>
      </w:r>
      <w:r>
        <w:rPr>
          <w:rFonts w:ascii="Arial Narrow" w:hAnsi="Arial Narrow"/>
          <w:snapToGrid w:val="0"/>
          <w:sz w:val="20"/>
          <w:szCs w:val="20"/>
        </w:rPr>
        <w:t xml:space="preserve"> acreditado </w:t>
      </w:r>
      <w:r w:rsidR="00AA7DAA">
        <w:rPr>
          <w:rFonts w:ascii="Arial Narrow" w:hAnsi="Arial Narrow"/>
          <w:snapToGrid w:val="0"/>
          <w:sz w:val="20"/>
          <w:szCs w:val="20"/>
        </w:rPr>
        <w:t xml:space="preserve">o autorizado </w:t>
      </w:r>
      <w:r>
        <w:rPr>
          <w:rFonts w:ascii="Arial Narrow" w:hAnsi="Arial Narrow"/>
          <w:snapToGrid w:val="0"/>
          <w:sz w:val="20"/>
          <w:szCs w:val="20"/>
        </w:rPr>
        <w:t>por el IDEAM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, si </w:t>
      </w:r>
      <w:r w:rsidR="00AA7DAA">
        <w:rPr>
          <w:rFonts w:ascii="Arial Narrow" w:hAnsi="Arial Narrow"/>
          <w:snapToGrid w:val="0"/>
          <w:sz w:val="20"/>
          <w:szCs w:val="20"/>
        </w:rPr>
        <w:t>participó en la evaluación del mismo como auditor líder o auditor asistente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. Esta limitación tendrá una duración de tres (3) años, contados a partir de la finalización de la </w:t>
      </w:r>
      <w:r w:rsidR="000A1541">
        <w:rPr>
          <w:rFonts w:ascii="Arial Narrow" w:hAnsi="Arial Narrow"/>
          <w:snapToGrid w:val="0"/>
          <w:sz w:val="20"/>
          <w:szCs w:val="20"/>
        </w:rPr>
        <w:t>auditoría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 xml:space="preserve"> de </w:t>
      </w:r>
      <w:r w:rsidR="00E35269">
        <w:rPr>
          <w:rFonts w:ascii="Arial Narrow" w:hAnsi="Arial Narrow"/>
          <w:snapToGrid w:val="0"/>
          <w:sz w:val="20"/>
          <w:szCs w:val="20"/>
        </w:rPr>
        <w:t>acreditación o autorización</w:t>
      </w:r>
      <w:r w:rsidR="00500F62" w:rsidRPr="00500F62">
        <w:rPr>
          <w:rFonts w:ascii="Arial Narrow" w:hAnsi="Arial Narrow"/>
          <w:snapToGrid w:val="0"/>
          <w:sz w:val="20"/>
          <w:szCs w:val="20"/>
        </w:rPr>
        <w:t>.</w:t>
      </w:r>
      <w:r w:rsidR="002F6EED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716E380C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C6928D6" w14:textId="77777777" w:rsidR="00500F62" w:rsidRPr="00D96F1D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D96F1D">
        <w:rPr>
          <w:rFonts w:ascii="Arial Narrow" w:hAnsi="Arial Narrow"/>
          <w:b/>
          <w:snapToGrid w:val="0"/>
          <w:sz w:val="20"/>
          <w:szCs w:val="20"/>
        </w:rPr>
        <w:t>8. Responsabilidad</w:t>
      </w:r>
    </w:p>
    <w:p w14:paraId="5950529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97E25B3" w14:textId="1602AC2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Los </w:t>
      </w:r>
      <w:r w:rsidR="00B72646">
        <w:rPr>
          <w:rFonts w:ascii="Arial Narrow" w:hAnsi="Arial Narrow"/>
          <w:snapToGrid w:val="0"/>
          <w:sz w:val="20"/>
          <w:szCs w:val="20"/>
        </w:rPr>
        <w:t>funcionarios y contratistas del Grupo de Acreditación del IDEAM serán responsables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de los daños y </w:t>
      </w:r>
      <w:r w:rsidR="00704658" w:rsidRPr="00500F62">
        <w:rPr>
          <w:rFonts w:ascii="Arial Narrow" w:hAnsi="Arial Narrow"/>
          <w:snapToGrid w:val="0"/>
          <w:sz w:val="20"/>
          <w:szCs w:val="20"/>
        </w:rPr>
        <w:t>perjuicios que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causen al </w:t>
      </w:r>
      <w:r w:rsidR="00B72646">
        <w:rPr>
          <w:rFonts w:ascii="Arial Narrow" w:hAnsi="Arial Narrow"/>
          <w:snapToGrid w:val="0"/>
          <w:sz w:val="20"/>
          <w:szCs w:val="20"/>
        </w:rPr>
        <w:t>IDEAM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o a </w:t>
      </w:r>
      <w:r w:rsidR="001C2F62">
        <w:rPr>
          <w:rFonts w:ascii="Arial Narrow" w:hAnsi="Arial Narrow"/>
          <w:snapToGrid w:val="0"/>
          <w:sz w:val="20"/>
          <w:szCs w:val="20"/>
        </w:rPr>
        <w:t xml:space="preserve">los organismos de evaluación de la conformidad </w:t>
      </w:r>
      <w:r w:rsidRPr="00500F62">
        <w:rPr>
          <w:rFonts w:ascii="Arial Narrow" w:hAnsi="Arial Narrow"/>
          <w:snapToGrid w:val="0"/>
          <w:sz w:val="20"/>
          <w:szCs w:val="20"/>
        </w:rPr>
        <w:t>en el ejercicio de s</w:t>
      </w:r>
      <w:r w:rsidR="001C2F62">
        <w:rPr>
          <w:rFonts w:ascii="Arial Narrow" w:hAnsi="Arial Narrow"/>
          <w:snapToGrid w:val="0"/>
          <w:sz w:val="20"/>
          <w:szCs w:val="20"/>
        </w:rPr>
        <w:t>u actividad, con ocasión de las evaluaciones encomendada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s por el </w:t>
      </w:r>
      <w:r w:rsidR="001C2F62">
        <w:rPr>
          <w:rFonts w:ascii="Arial Narrow" w:hAnsi="Arial Narrow"/>
          <w:snapToGrid w:val="0"/>
          <w:sz w:val="20"/>
          <w:szCs w:val="20"/>
        </w:rPr>
        <w:t>IDEAM</w:t>
      </w:r>
      <w:r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77794DF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3B10C5F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>Toda contravención al presente Código puede conllevar la terminación del contrato</w:t>
      </w:r>
      <w:r w:rsidR="00830261">
        <w:rPr>
          <w:rFonts w:ascii="Arial Narrow" w:hAnsi="Arial Narrow"/>
          <w:snapToGrid w:val="0"/>
          <w:sz w:val="20"/>
          <w:szCs w:val="20"/>
        </w:rPr>
        <w:t xml:space="preserve"> de prestación de servicios para los contratistas del Grupo de Acreditación del IDEAM, </w:t>
      </w:r>
      <w:r w:rsidR="001B6510">
        <w:rPr>
          <w:rFonts w:ascii="Arial Narrow" w:hAnsi="Arial Narrow"/>
          <w:snapToGrid w:val="0"/>
          <w:sz w:val="20"/>
          <w:szCs w:val="20"/>
        </w:rPr>
        <w:t xml:space="preserve">así mismo, </w:t>
      </w:r>
      <w:r w:rsidR="00830261">
        <w:rPr>
          <w:rFonts w:ascii="Arial Narrow" w:hAnsi="Arial Narrow"/>
          <w:snapToGrid w:val="0"/>
          <w:sz w:val="20"/>
          <w:szCs w:val="20"/>
        </w:rPr>
        <w:t xml:space="preserve">puede ser causal de investigación disciplinaria para </w:t>
      </w:r>
      <w:r w:rsidR="00830261">
        <w:rPr>
          <w:rFonts w:ascii="Arial Narrow" w:hAnsi="Arial Narrow"/>
          <w:snapToGrid w:val="0"/>
          <w:sz w:val="20"/>
          <w:szCs w:val="20"/>
        </w:rPr>
        <w:lastRenderedPageBreak/>
        <w:t>los funcionarios del Grupo de Acreditación del IDEAM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, según </w:t>
      </w:r>
      <w:r w:rsidR="001B6510">
        <w:rPr>
          <w:rFonts w:ascii="Arial Narrow" w:hAnsi="Arial Narrow"/>
          <w:snapToGrid w:val="0"/>
          <w:sz w:val="20"/>
          <w:szCs w:val="20"/>
        </w:rPr>
        <w:t>lo establecido en el Código único disciplinario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y en el contrato de prestación de servicios</w:t>
      </w:r>
      <w:r w:rsidR="001B6510">
        <w:rPr>
          <w:rFonts w:ascii="Arial Narrow" w:hAnsi="Arial Narrow"/>
          <w:snapToGrid w:val="0"/>
          <w:sz w:val="20"/>
          <w:szCs w:val="20"/>
        </w:rPr>
        <w:t xml:space="preserve"> profesionales</w:t>
      </w:r>
      <w:r w:rsidRPr="00500F62">
        <w:rPr>
          <w:rFonts w:ascii="Arial Narrow" w:hAnsi="Arial Narrow"/>
          <w:snapToGrid w:val="0"/>
          <w:sz w:val="20"/>
          <w:szCs w:val="20"/>
        </w:rPr>
        <w:t>.</w:t>
      </w:r>
    </w:p>
    <w:p w14:paraId="3A3453EE" w14:textId="77777777" w:rsid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0484ACE1" w14:textId="77777777" w:rsidR="001B6510" w:rsidRPr="00500F62" w:rsidRDefault="001B6510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70E8D7ED" w14:textId="77777777" w:rsidR="00500F62" w:rsidRPr="00D96F1D" w:rsidRDefault="00500F62" w:rsidP="00500F62">
      <w:pPr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D96F1D">
        <w:rPr>
          <w:rFonts w:ascii="Arial Narrow" w:hAnsi="Arial Narrow"/>
          <w:b/>
          <w:snapToGrid w:val="0"/>
          <w:sz w:val="20"/>
          <w:szCs w:val="20"/>
        </w:rPr>
        <w:t>III. COMPROMISO</w:t>
      </w:r>
    </w:p>
    <w:p w14:paraId="2FB09509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24525084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Los </w:t>
      </w:r>
      <w:r w:rsidR="00FB4216">
        <w:rPr>
          <w:rFonts w:ascii="Arial Narrow" w:hAnsi="Arial Narrow"/>
          <w:snapToGrid w:val="0"/>
          <w:sz w:val="20"/>
          <w:szCs w:val="20"/>
        </w:rPr>
        <w:t>funcionarios y contratistas del Grupo de Acreditación del IDEAM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al aceptar </w:t>
      </w:r>
      <w:r w:rsidR="00FB4216">
        <w:rPr>
          <w:rFonts w:ascii="Arial Narrow" w:hAnsi="Arial Narrow"/>
          <w:snapToGrid w:val="0"/>
          <w:sz w:val="20"/>
          <w:szCs w:val="20"/>
        </w:rPr>
        <w:t>su nombramiento o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al firmar el contrato de prestación de servicios</w:t>
      </w:r>
      <w:r w:rsidR="00FB4216">
        <w:rPr>
          <w:rFonts w:ascii="Arial Narrow" w:hAnsi="Arial Narrow"/>
          <w:snapToGrid w:val="0"/>
          <w:sz w:val="20"/>
          <w:szCs w:val="20"/>
        </w:rPr>
        <w:t xml:space="preserve"> profesionales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, según corresponda, declaran el conocimiento </w:t>
      </w:r>
      <w:r w:rsidR="00FB4216">
        <w:rPr>
          <w:rFonts w:ascii="Arial Narrow" w:hAnsi="Arial Narrow"/>
          <w:snapToGrid w:val="0"/>
          <w:sz w:val="20"/>
          <w:szCs w:val="20"/>
        </w:rPr>
        <w:t>d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el Código de </w:t>
      </w:r>
      <w:r w:rsidR="00FB4216">
        <w:rPr>
          <w:rFonts w:ascii="Arial Narrow" w:hAnsi="Arial Narrow"/>
          <w:snapToGrid w:val="0"/>
          <w:sz w:val="20"/>
          <w:szCs w:val="20"/>
        </w:rPr>
        <w:t xml:space="preserve">ética para auditores del Grupo de Acreditación </w:t>
      </w:r>
      <w:r w:rsidR="000B019B">
        <w:rPr>
          <w:rFonts w:ascii="Arial Narrow" w:hAnsi="Arial Narrow"/>
          <w:snapToGrid w:val="0"/>
          <w:sz w:val="20"/>
          <w:szCs w:val="20"/>
        </w:rPr>
        <w:t>del IDEAM</w:t>
      </w:r>
      <w:r w:rsidRPr="00500F62">
        <w:rPr>
          <w:rFonts w:ascii="Arial Narrow" w:hAnsi="Arial Narrow"/>
          <w:snapToGrid w:val="0"/>
          <w:sz w:val="20"/>
          <w:szCs w:val="20"/>
        </w:rPr>
        <w:t xml:space="preserve"> y aceptan cumplir todas las obligaciones y compromisos que se establecen en el mismo.</w:t>
      </w:r>
    </w:p>
    <w:p w14:paraId="04E78E0E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4241681B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  <w:r w:rsidRPr="00500F62">
        <w:rPr>
          <w:rFonts w:ascii="Arial Narrow" w:hAnsi="Arial Narrow"/>
          <w:snapToGrid w:val="0"/>
          <w:sz w:val="20"/>
          <w:szCs w:val="20"/>
        </w:rPr>
        <w:t xml:space="preserve">Así mismo, aceptan que cualquier violación de las disposiciones establecidas en este Código, será considerada como una falta grave que será considerada como justa causa para la terminación del contrato </w:t>
      </w:r>
      <w:r w:rsidR="00FB4216">
        <w:rPr>
          <w:rFonts w:ascii="Arial Narrow" w:hAnsi="Arial Narrow"/>
          <w:snapToGrid w:val="0"/>
          <w:sz w:val="20"/>
          <w:szCs w:val="20"/>
        </w:rPr>
        <w:t>de prestaci</w:t>
      </w:r>
      <w:r w:rsidR="00ED4FE3">
        <w:rPr>
          <w:rFonts w:ascii="Arial Narrow" w:hAnsi="Arial Narrow"/>
          <w:snapToGrid w:val="0"/>
          <w:sz w:val="20"/>
          <w:szCs w:val="20"/>
        </w:rPr>
        <w:t>ón de servicios profesionales</w:t>
      </w:r>
      <w:r w:rsidR="000B4A61">
        <w:rPr>
          <w:rFonts w:ascii="Arial Narrow" w:hAnsi="Arial Narrow"/>
          <w:snapToGrid w:val="0"/>
          <w:sz w:val="20"/>
          <w:szCs w:val="20"/>
        </w:rPr>
        <w:t>,</w:t>
      </w:r>
      <w:r w:rsidR="00ED4FE3">
        <w:rPr>
          <w:rFonts w:ascii="Arial Narrow" w:hAnsi="Arial Narrow"/>
          <w:snapToGrid w:val="0"/>
          <w:sz w:val="20"/>
          <w:szCs w:val="20"/>
        </w:rPr>
        <w:t xml:space="preserve"> o causal de investigación disciplinaria para los funcionarios del Grupo de Acreditación.</w:t>
      </w:r>
    </w:p>
    <w:p w14:paraId="6243B66A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</w:rPr>
      </w:pPr>
    </w:p>
    <w:p w14:paraId="5AB9DBD8" w14:textId="77777777" w:rsidR="00500F62" w:rsidRPr="00500F62" w:rsidRDefault="00584755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  <w:r>
        <w:rPr>
          <w:rFonts w:ascii="Arial Narrow" w:hAnsi="Arial Narrow"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AB2C25" wp14:editId="25C94569">
                <wp:simplePos x="0" y="0"/>
                <wp:positionH relativeFrom="page">
                  <wp:posOffset>1076325</wp:posOffset>
                </wp:positionH>
                <wp:positionV relativeFrom="paragraph">
                  <wp:posOffset>941705</wp:posOffset>
                </wp:positionV>
                <wp:extent cx="3190240" cy="6985"/>
                <wp:effectExtent l="9525" t="8255" r="10160" b="381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985"/>
                          <a:chOff x="1695" y="1483"/>
                          <a:chExt cx="5024" cy="11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701" y="1489"/>
                            <a:ext cx="1801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1801"/>
                              <a:gd name="T2" fmla="+- 0 3501 1701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3505" y="1489"/>
                            <a:ext cx="1201" cy="0"/>
                          </a:xfrm>
                          <a:custGeom>
                            <a:avLst/>
                            <a:gdLst>
                              <a:gd name="T0" fmla="+- 0 3505 3505"/>
                              <a:gd name="T1" fmla="*/ T0 w 1201"/>
                              <a:gd name="T2" fmla="+- 0 4706 3505"/>
                              <a:gd name="T3" fmla="*/ T2 w 1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09" y="1489"/>
                            <a:ext cx="1001" cy="0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1001"/>
                              <a:gd name="T2" fmla="+- 0 5709 4709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5713" y="1489"/>
                            <a:ext cx="1001" cy="0"/>
                          </a:xfrm>
                          <a:custGeom>
                            <a:avLst/>
                            <a:gdLst>
                              <a:gd name="T0" fmla="+- 0 5713 5713"/>
                              <a:gd name="T1" fmla="*/ T0 w 1001"/>
                              <a:gd name="T2" fmla="+- 0 6714 5713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7F1B" id="Group 7" o:spid="_x0000_s1026" style="position:absolute;margin-left:84.75pt;margin-top:74.15pt;width:251.2pt;height:.55pt;z-index:-251657216;mso-position-horizontal-relative:page" coordorigin="1695,1483" coordsize="50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">
                <v:shape id="Freeform 8" o:spid="_x0000_s1027" style="position:absolute;left:1701;top:1489;width:1801;height:0;visibility:visible;mso-wrap-style:square;v-text-anchor:top" coordsize="1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gx78A&#10;AADaAAAADwAAAGRycy9kb3ducmV2LnhtbESPQYvCMBSE74L/ITzBm01XYVm6RlkKsh68aP0Bj+bZ&#10;FJuXbpKt9d8bQfA4zMw3zHo72k4M5EPrWMFHloMgrp1uuVFwrnaLLxAhImvsHJOCOwXYbqaTNRba&#10;3fhIwyk2IkE4FKjAxNgXUobakMWQuZ44eRfnLcYkfSO1x1uC204u8/xTWmw5LRjsqTRUX0//VsFx&#10;15a6r/48EpW/1cEM5ytflJrPxp9vEJHG+A6/2nutYAXPK+k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SDHvwAAANoAAAAPAAAAAAAAAAAAAAAAAJgCAABkcnMvZG93bnJl&#10;di54bWxQSwUGAAAAAAQABAD1AAAAhAMAAAAA&#10;" path="m,l1800,e" filled="f" strokeweight=".55pt">
                  <v:path arrowok="t" o:connecttype="custom" o:connectlocs="0,0;1800,0" o:connectangles="0,0"/>
                </v:shape>
                <v:shape id="Freeform 9" o:spid="_x0000_s1028" style="position:absolute;left:3505;top:1489;width:1201;height:0;visibility:visible;mso-wrap-style:square;v-text-anchor:top" coordsize="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GsIA&#10;AADaAAAADwAAAGRycy9kb3ducmV2LnhtbESPX2vCMBTF3wd+h3AFX8aaTmRIZxQRJuKDss693zW3&#10;TbG5qU3U+u2NIOzxcP78OLNFbxtxoc7XjhW8JykI4sLpmisFh5+vtykIH5A1No5JwY08LOaDlxlm&#10;2l35my55qEQcYZ+hAhNCm0npC0MWfeJa4uiVrrMYouwqqTu8xnHbyHGafkiLNUeCwZZWhopjfrYR&#10;Uu7yarf3rnxdt3/l+PfEe7NVajTsl58gAvXhP/xsb7SCCTyux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pkawgAAANoAAAAPAAAAAAAAAAAAAAAAAJgCAABkcnMvZG93&#10;bnJldi54bWxQSwUGAAAAAAQABAD1AAAAhwMAAAAA&#10;" path="m,l1201,e" filled="f" strokeweight=".55pt">
                  <v:path arrowok="t" o:connecttype="custom" o:connectlocs="0,0;1201,0" o:connectangles="0,0"/>
                </v:shape>
                <v:shape id="Freeform 10" o:spid="_x0000_s1029" style="position:absolute;left:4709;top:1489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9ysIA&#10;AADaAAAADwAAAGRycy9kb3ducmV2LnhtbESPQWsCMRSE74X+h/AK3jRbQWlXo5SioIKFboVeH5vn&#10;ZunmZU2irv56Iwg9DjPzDTOdd7YRJ/KhdqzgdZCBIC6drrlSsPtZ9t9AhIissXFMCi4UYD57fppi&#10;rt2Zv+lUxEokCIccFZgY21zKUBqyGAauJU7e3nmLMUlfSe3xnOC2kcMsG0uLNacFgy19Gir/iqNV&#10;UG93X8XxsBibdef8FX83+K5Rqd5L9zEBEamL/+FHe6UVjOB+Jd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n3KwgAAANoAAAAPAAAAAAAAAAAAAAAAAJgCAABkcnMvZG93&#10;bnJldi54bWxQSwUGAAAAAAQABAD1AAAAhwMAAAAA&#10;" path="m,l1000,e" filled="f" strokeweight=".55pt">
                  <v:path arrowok="t" o:connecttype="custom" o:connectlocs="0,0;1000,0" o:connectangles="0,0"/>
                </v:shape>
                <v:shape id="Freeform 11" o:spid="_x0000_s1030" style="position:absolute;left:5713;top:1489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jvcIA&#10;AADaAAAADwAAAGRycy9kb3ducmV2LnhtbESPQWsCMRSE74X+h/AK3mrWHpa6GkWkBRVacBW8PjbP&#10;zeLmZZtE3fbXN4LgcZiZb5jpvLetuJAPjWMFo2EGgrhyuuFawX73+foOIkRkja1jUvBLAeaz56cp&#10;FtpdeUuXMtYiQTgUqMDE2BVShsqQxTB0HXHyjs5bjEn6WmqP1wS3rXzLslxabDgtGOxoaag6lWer&#10;oPnaf5fnn4/crHvn//CwwbFGpQYv/WICIlIfH+F7e6UV5HC7km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OO9wgAAANoAAAAPAAAAAAAAAAAAAAAAAJgCAABkcnMvZG93&#10;bnJldi54bWxQSwUGAAAAAAQABAD1AAAAhwMAAAAA&#10;" path="m,l1001,e" filled="f" strokeweight=".55pt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En constancia </w:t>
      </w:r>
      <w:r w:rsidR="005B3586">
        <w:rPr>
          <w:rFonts w:ascii="Arial Narrow" w:hAnsi="Arial Narrow"/>
          <w:snapToGrid w:val="0"/>
          <w:sz w:val="20"/>
          <w:szCs w:val="20"/>
          <w:lang w:val="es-CO"/>
        </w:rPr>
        <w:t xml:space="preserve">se 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>firm</w:t>
      </w:r>
      <w:r w:rsidR="005B3586">
        <w:rPr>
          <w:rFonts w:ascii="Arial Narrow" w:hAnsi="Arial Narrow"/>
          <w:snapToGrid w:val="0"/>
          <w:sz w:val="20"/>
          <w:szCs w:val="20"/>
          <w:lang w:val="es-CO"/>
        </w:rPr>
        <w:t>a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el</w:t>
      </w:r>
      <w:r w:rsidR="005B3586">
        <w:rPr>
          <w:rFonts w:ascii="Arial Narrow" w:hAnsi="Arial Narrow"/>
          <w:snapToGrid w:val="0"/>
          <w:sz w:val="20"/>
          <w:szCs w:val="20"/>
          <w:lang w:val="es-CO"/>
        </w:rPr>
        <w:t xml:space="preserve"> día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</w:t>
      </w:r>
      <w:r w:rsidR="00500F62" w:rsidRPr="00500F62">
        <w:rPr>
          <w:rFonts w:ascii="Arial Narrow" w:hAnsi="Arial Narrow"/>
          <w:snapToGrid w:val="0"/>
          <w:sz w:val="20"/>
          <w:szCs w:val="20"/>
          <w:u w:val="single"/>
          <w:lang w:val="es-CO"/>
        </w:rPr>
        <w:t xml:space="preserve">         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de</w:t>
      </w:r>
      <w:r w:rsidR="005B3586">
        <w:rPr>
          <w:rFonts w:ascii="Arial Narrow" w:hAnsi="Arial Narrow"/>
          <w:snapToGrid w:val="0"/>
          <w:sz w:val="20"/>
          <w:szCs w:val="20"/>
          <w:lang w:val="es-CO"/>
        </w:rPr>
        <w:t xml:space="preserve">l mes 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</w:t>
      </w:r>
      <w:r w:rsidR="00500F62" w:rsidRPr="00500F62">
        <w:rPr>
          <w:rFonts w:ascii="Arial Narrow" w:hAnsi="Arial Narrow"/>
          <w:snapToGrid w:val="0"/>
          <w:sz w:val="20"/>
          <w:szCs w:val="20"/>
          <w:u w:val="single"/>
          <w:lang w:val="es-CO"/>
        </w:rPr>
        <w:t xml:space="preserve">        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de</w:t>
      </w:r>
      <w:r w:rsidR="005B3586">
        <w:rPr>
          <w:rFonts w:ascii="Arial Narrow" w:hAnsi="Arial Narrow"/>
          <w:snapToGrid w:val="0"/>
          <w:sz w:val="20"/>
          <w:szCs w:val="20"/>
          <w:lang w:val="es-CO"/>
        </w:rPr>
        <w:t>l año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</w:t>
      </w:r>
      <w:r w:rsidR="00500F62" w:rsidRPr="00500F62">
        <w:rPr>
          <w:rFonts w:ascii="Arial Narrow" w:hAnsi="Arial Narrow"/>
          <w:snapToGrid w:val="0"/>
          <w:sz w:val="20"/>
          <w:szCs w:val="20"/>
          <w:u w:val="single"/>
          <w:lang w:val="es-CO"/>
        </w:rPr>
        <w:t xml:space="preserve">         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 xml:space="preserve"> , </w:t>
      </w:r>
      <w:r w:rsidR="005B3586">
        <w:rPr>
          <w:rFonts w:ascii="Arial Narrow" w:hAnsi="Arial Narrow"/>
          <w:snapToGrid w:val="0"/>
          <w:sz w:val="20"/>
          <w:szCs w:val="20"/>
          <w:lang w:val="es-CO"/>
        </w:rPr>
        <w:t xml:space="preserve">en </w:t>
      </w:r>
      <w:r w:rsidR="00500F62" w:rsidRPr="00500F62">
        <w:rPr>
          <w:rFonts w:ascii="Arial Narrow" w:hAnsi="Arial Narrow"/>
          <w:snapToGrid w:val="0"/>
          <w:sz w:val="20"/>
          <w:szCs w:val="20"/>
          <w:lang w:val="es-CO"/>
        </w:rPr>
        <w:t>Bogotá D.C.</w:t>
      </w:r>
    </w:p>
    <w:p w14:paraId="2733D76B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</w:p>
    <w:p w14:paraId="0ADBF792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</w:p>
    <w:p w14:paraId="33B54B65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</w:p>
    <w:p w14:paraId="4D1A33BD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</w:p>
    <w:p w14:paraId="013FAF8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</w:p>
    <w:p w14:paraId="033DAE08" w14:textId="77777777" w:rsidR="00500F62" w:rsidRPr="00500F62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</w:p>
    <w:p w14:paraId="704A102B" w14:textId="77777777" w:rsidR="00500F62" w:rsidRPr="005E3868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  <w:r w:rsidRPr="005E3868">
        <w:rPr>
          <w:rFonts w:ascii="Arial Narrow" w:hAnsi="Arial Narrow"/>
          <w:snapToGrid w:val="0"/>
          <w:sz w:val="20"/>
          <w:szCs w:val="20"/>
          <w:lang w:val="es-CO"/>
        </w:rPr>
        <w:t xml:space="preserve">Nombre: </w:t>
      </w:r>
    </w:p>
    <w:p w14:paraId="645B2DDA" w14:textId="77777777" w:rsidR="00500F62" w:rsidRPr="005E3868" w:rsidRDefault="00500F62" w:rsidP="00500F62">
      <w:pPr>
        <w:jc w:val="both"/>
        <w:rPr>
          <w:rFonts w:ascii="Arial Narrow" w:hAnsi="Arial Narrow"/>
          <w:snapToGrid w:val="0"/>
          <w:sz w:val="20"/>
          <w:szCs w:val="20"/>
          <w:lang w:val="es-CO"/>
        </w:rPr>
      </w:pPr>
      <w:r w:rsidRPr="005E3868">
        <w:rPr>
          <w:rFonts w:ascii="Arial Narrow" w:hAnsi="Arial Narrow"/>
          <w:snapToGrid w:val="0"/>
          <w:sz w:val="20"/>
          <w:szCs w:val="20"/>
          <w:lang w:val="es-CO"/>
        </w:rPr>
        <w:t>C.C.</w:t>
      </w:r>
    </w:p>
    <w:p w14:paraId="18FAE8D4" w14:textId="77777777" w:rsidR="00443A1D" w:rsidRDefault="00443A1D" w:rsidP="00443A1D">
      <w:pPr>
        <w:pStyle w:val="Prrafodelista"/>
        <w:ind w:left="0"/>
        <w:contextualSpacing/>
        <w:rPr>
          <w:rFonts w:ascii="Arial Narrow" w:hAnsi="Arial Narrow"/>
          <w:snapToGrid w:val="0"/>
          <w:sz w:val="20"/>
          <w:szCs w:val="20"/>
        </w:rPr>
      </w:pPr>
    </w:p>
    <w:p w14:paraId="6CC2BE51" w14:textId="77777777" w:rsidR="00500F62" w:rsidRDefault="00500F62" w:rsidP="00443A1D">
      <w:pPr>
        <w:pStyle w:val="Prrafodelista"/>
        <w:ind w:left="0"/>
        <w:contextualSpacing/>
        <w:rPr>
          <w:rFonts w:ascii="Arial Narrow" w:hAnsi="Arial Narrow"/>
          <w:snapToGrid w:val="0"/>
          <w:sz w:val="20"/>
          <w:szCs w:val="20"/>
        </w:rPr>
      </w:pPr>
    </w:p>
    <w:p w14:paraId="060C1733" w14:textId="77777777" w:rsidR="00500F62" w:rsidRDefault="00500F62" w:rsidP="00443A1D">
      <w:pPr>
        <w:pStyle w:val="Prrafodelista"/>
        <w:ind w:left="0"/>
        <w:contextualSpacing/>
        <w:rPr>
          <w:rFonts w:ascii="Arial Narrow" w:hAnsi="Arial Narrow"/>
          <w:snapToGrid w:val="0"/>
          <w:sz w:val="20"/>
          <w:szCs w:val="20"/>
        </w:rPr>
      </w:pPr>
    </w:p>
    <w:p w14:paraId="18E2B70D" w14:textId="77777777" w:rsidR="00500F62" w:rsidRDefault="00500F62" w:rsidP="00443A1D">
      <w:pPr>
        <w:pStyle w:val="Prrafodelista"/>
        <w:ind w:left="0"/>
        <w:contextualSpacing/>
        <w:rPr>
          <w:rFonts w:ascii="Arial Narrow" w:hAnsi="Arial Narrow"/>
          <w:snapToGrid w:val="0"/>
          <w:sz w:val="20"/>
          <w:szCs w:val="20"/>
        </w:rPr>
      </w:pPr>
    </w:p>
    <w:p w14:paraId="4C95380D" w14:textId="77777777" w:rsidR="00443A1D" w:rsidRPr="00443A1D" w:rsidRDefault="00443A1D" w:rsidP="00443A1D">
      <w:pPr>
        <w:pStyle w:val="Prrafodelista"/>
        <w:ind w:left="0"/>
        <w:contextualSpacing/>
        <w:rPr>
          <w:rFonts w:ascii="Arial Narrow" w:hAnsi="Arial Narrow" w:cs="Arial"/>
          <w:b/>
          <w:sz w:val="20"/>
          <w:szCs w:val="22"/>
        </w:rPr>
      </w:pPr>
      <w:r w:rsidRPr="00443A1D">
        <w:rPr>
          <w:rFonts w:ascii="Arial Narrow" w:hAnsi="Arial Narrow" w:cs="Arial"/>
          <w:b/>
          <w:sz w:val="20"/>
          <w:szCs w:val="22"/>
        </w:rPr>
        <w:t>HISTORIAL DE CAMBIOS</w:t>
      </w:r>
    </w:p>
    <w:p w14:paraId="13942BC2" w14:textId="77777777" w:rsidR="00443A1D" w:rsidRPr="00443A1D" w:rsidRDefault="00443A1D" w:rsidP="00443A1D">
      <w:pPr>
        <w:pStyle w:val="Prrafodelista"/>
        <w:rPr>
          <w:rFonts w:ascii="Arial Narrow" w:hAnsi="Arial Narrow" w:cs="Arial"/>
          <w:b/>
          <w:sz w:val="2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537"/>
        <w:gridCol w:w="5769"/>
      </w:tblGrid>
      <w:tr w:rsidR="00443A1D" w:rsidRPr="00294C6F" w14:paraId="0D4CDBB0" w14:textId="77777777" w:rsidTr="00294C6F">
        <w:trPr>
          <w:jc w:val="center"/>
        </w:trPr>
        <w:tc>
          <w:tcPr>
            <w:tcW w:w="699" w:type="pct"/>
            <w:shd w:val="clear" w:color="auto" w:fill="auto"/>
            <w:vAlign w:val="center"/>
          </w:tcPr>
          <w:p w14:paraId="365F6D92" w14:textId="77777777" w:rsidR="00443A1D" w:rsidRPr="00294C6F" w:rsidRDefault="00443A1D" w:rsidP="00A459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2"/>
              </w:rPr>
            </w:pPr>
            <w:r w:rsidRPr="00294C6F">
              <w:rPr>
                <w:rFonts w:ascii="Arial Narrow" w:eastAsia="Calibri" w:hAnsi="Arial Narrow" w:cs="Arial"/>
                <w:b/>
                <w:bCs/>
                <w:color w:val="020000"/>
                <w:sz w:val="20"/>
                <w:szCs w:val="22"/>
              </w:rPr>
              <w:t>Versión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5FB4772" w14:textId="77777777" w:rsidR="00443A1D" w:rsidRPr="00294C6F" w:rsidRDefault="00443A1D" w:rsidP="00A459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2"/>
              </w:rPr>
            </w:pPr>
            <w:r w:rsidRPr="00294C6F">
              <w:rPr>
                <w:rFonts w:ascii="Arial Narrow" w:eastAsia="Calibri" w:hAnsi="Arial Narrow" w:cs="Arial"/>
                <w:b/>
                <w:bCs/>
                <w:color w:val="020000"/>
                <w:sz w:val="20"/>
                <w:szCs w:val="22"/>
              </w:rPr>
              <w:t>F</w:t>
            </w:r>
            <w:r w:rsidRPr="00294C6F">
              <w:rPr>
                <w:rFonts w:ascii="Arial Narrow" w:eastAsia="Calibri" w:hAnsi="Arial Narrow" w:cs="Arial"/>
                <w:b/>
                <w:bCs/>
                <w:color w:val="010000"/>
                <w:sz w:val="20"/>
                <w:szCs w:val="22"/>
              </w:rPr>
              <w:t>e</w:t>
            </w:r>
            <w:r w:rsidRPr="00294C6F">
              <w:rPr>
                <w:rFonts w:ascii="Arial Narrow" w:eastAsia="Calibri" w:hAnsi="Arial Narrow" w:cs="Arial"/>
                <w:b/>
                <w:bCs/>
                <w:color w:val="020000"/>
                <w:sz w:val="20"/>
                <w:szCs w:val="22"/>
              </w:rPr>
              <w:t>cha</w:t>
            </w:r>
          </w:p>
        </w:tc>
        <w:tc>
          <w:tcPr>
            <w:tcW w:w="3396" w:type="pct"/>
            <w:shd w:val="clear" w:color="auto" w:fill="auto"/>
            <w:vAlign w:val="center"/>
          </w:tcPr>
          <w:p w14:paraId="13F085E2" w14:textId="77777777" w:rsidR="00443A1D" w:rsidRPr="00294C6F" w:rsidRDefault="00443A1D" w:rsidP="00A459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2"/>
              </w:rPr>
            </w:pPr>
            <w:r w:rsidRPr="00294C6F">
              <w:rPr>
                <w:rFonts w:ascii="Arial Narrow" w:eastAsia="Calibri" w:hAnsi="Arial Narrow" w:cs="Arial"/>
                <w:b/>
                <w:bCs/>
                <w:color w:val="010000"/>
                <w:sz w:val="20"/>
                <w:szCs w:val="22"/>
              </w:rPr>
              <w:t>Descr</w:t>
            </w:r>
            <w:r w:rsidRPr="00294C6F">
              <w:rPr>
                <w:rFonts w:ascii="Arial Narrow" w:eastAsia="Calibri" w:hAnsi="Arial Narrow" w:cs="Arial"/>
                <w:b/>
                <w:bCs/>
                <w:color w:val="020000"/>
                <w:sz w:val="20"/>
                <w:szCs w:val="22"/>
              </w:rPr>
              <w:t>i</w:t>
            </w:r>
            <w:r w:rsidRPr="00294C6F">
              <w:rPr>
                <w:rFonts w:ascii="Arial Narrow" w:eastAsia="Calibri" w:hAnsi="Arial Narrow" w:cs="Arial"/>
                <w:b/>
                <w:bCs/>
                <w:color w:val="010000"/>
                <w:sz w:val="20"/>
                <w:szCs w:val="22"/>
              </w:rPr>
              <w:t>pc</w:t>
            </w:r>
            <w:r w:rsidRPr="00294C6F">
              <w:rPr>
                <w:rFonts w:ascii="Arial Narrow" w:eastAsia="Calibri" w:hAnsi="Arial Narrow" w:cs="Arial"/>
                <w:b/>
                <w:bCs/>
                <w:color w:val="020000"/>
                <w:sz w:val="20"/>
                <w:szCs w:val="22"/>
              </w:rPr>
              <w:t>i</w:t>
            </w:r>
            <w:r w:rsidRPr="00294C6F">
              <w:rPr>
                <w:rFonts w:ascii="Arial Narrow" w:eastAsia="Calibri" w:hAnsi="Arial Narrow" w:cs="Arial"/>
                <w:b/>
                <w:bCs/>
                <w:color w:val="010000"/>
                <w:sz w:val="20"/>
                <w:szCs w:val="22"/>
              </w:rPr>
              <w:t>ón</w:t>
            </w:r>
          </w:p>
        </w:tc>
      </w:tr>
      <w:tr w:rsidR="00443A1D" w:rsidRPr="00294C6F" w14:paraId="05F56F95" w14:textId="77777777" w:rsidTr="00294C6F">
        <w:trPr>
          <w:jc w:val="center"/>
        </w:trPr>
        <w:tc>
          <w:tcPr>
            <w:tcW w:w="699" w:type="pct"/>
            <w:shd w:val="clear" w:color="auto" w:fill="auto"/>
          </w:tcPr>
          <w:p w14:paraId="5894A556" w14:textId="77777777" w:rsidR="00443A1D" w:rsidRPr="00294C6F" w:rsidRDefault="00443A1D" w:rsidP="00A459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2"/>
              </w:rPr>
            </w:pPr>
            <w:r w:rsidRPr="00294C6F">
              <w:rPr>
                <w:rFonts w:ascii="Arial Narrow" w:eastAsia="Calibri" w:hAnsi="Arial Narrow" w:cs="Arial"/>
                <w:sz w:val="20"/>
                <w:szCs w:val="22"/>
              </w:rPr>
              <w:t>01</w:t>
            </w:r>
          </w:p>
        </w:tc>
        <w:tc>
          <w:tcPr>
            <w:tcW w:w="905" w:type="pct"/>
            <w:shd w:val="clear" w:color="auto" w:fill="auto"/>
          </w:tcPr>
          <w:p w14:paraId="5997A922" w14:textId="4C27D27C" w:rsidR="00443A1D" w:rsidRPr="00294C6F" w:rsidRDefault="00704658" w:rsidP="00500F6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2"/>
              </w:rPr>
            </w:pPr>
            <w:r w:rsidRPr="00704658">
              <w:rPr>
                <w:rFonts w:ascii="Arial Narrow" w:eastAsia="Calibri" w:hAnsi="Arial Narrow" w:cs="Arial"/>
                <w:sz w:val="20"/>
                <w:szCs w:val="22"/>
              </w:rPr>
              <w:t>20/09/2017</w:t>
            </w:r>
          </w:p>
        </w:tc>
        <w:tc>
          <w:tcPr>
            <w:tcW w:w="3396" w:type="pct"/>
            <w:shd w:val="clear" w:color="auto" w:fill="auto"/>
          </w:tcPr>
          <w:p w14:paraId="2A4075D7" w14:textId="77777777" w:rsidR="00443A1D" w:rsidRPr="00294C6F" w:rsidRDefault="00443A1D" w:rsidP="00A4597D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2"/>
              </w:rPr>
            </w:pPr>
            <w:r w:rsidRPr="00294C6F">
              <w:rPr>
                <w:rFonts w:ascii="Arial Narrow" w:eastAsia="Calibri" w:hAnsi="Arial Narrow" w:cs="Arial"/>
                <w:sz w:val="20"/>
                <w:szCs w:val="22"/>
              </w:rPr>
              <w:t>Creación del documento.</w:t>
            </w:r>
          </w:p>
        </w:tc>
      </w:tr>
    </w:tbl>
    <w:p w14:paraId="33C65CA1" w14:textId="77777777" w:rsidR="00443A1D" w:rsidRPr="00443A1D" w:rsidRDefault="00443A1D" w:rsidP="00645ABA">
      <w:pPr>
        <w:jc w:val="both"/>
        <w:rPr>
          <w:rFonts w:ascii="Arial Narrow" w:hAnsi="Arial Narrow"/>
          <w:snapToGrid w:val="0"/>
          <w:sz w:val="20"/>
          <w:szCs w:val="22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98"/>
        <w:gridCol w:w="2947"/>
      </w:tblGrid>
      <w:tr w:rsidR="00443A1D" w:rsidRPr="00E970DC" w14:paraId="211CDF78" w14:textId="77777777" w:rsidTr="00E67605">
        <w:trPr>
          <w:trHeight w:val="815"/>
          <w:jc w:val="center"/>
        </w:trPr>
        <w:tc>
          <w:tcPr>
            <w:tcW w:w="1646" w:type="pct"/>
          </w:tcPr>
          <w:p w14:paraId="5BDC5A7D" w14:textId="77777777" w:rsidR="00443A1D" w:rsidRPr="00E970DC" w:rsidRDefault="00443A1D" w:rsidP="00294C6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970DC">
              <w:rPr>
                <w:rFonts w:ascii="Arial Narrow" w:hAnsi="Arial Narrow"/>
                <w:b/>
              </w:rPr>
              <w:t>ELABORÒ:</w:t>
            </w:r>
          </w:p>
          <w:p w14:paraId="2F884A9F" w14:textId="77777777" w:rsidR="00443A1D" w:rsidRDefault="00443A1D" w:rsidP="00294C6F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1AA38E1B" w14:textId="77777777" w:rsidR="00443A1D" w:rsidRDefault="00443A1D" w:rsidP="00294C6F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641671DE" w14:textId="2A888131" w:rsidR="00E67605" w:rsidRPr="00E970DC" w:rsidRDefault="00E67605" w:rsidP="00E67605">
            <w:pPr>
              <w:pStyle w:val="Sinespaciado"/>
              <w:rPr>
                <w:rFonts w:ascii="Arial Narrow" w:hAnsi="Arial Narrow"/>
              </w:rPr>
            </w:pPr>
          </w:p>
          <w:p w14:paraId="01BCB0FC" w14:textId="77777777" w:rsidR="00E67605" w:rsidRDefault="00E67605" w:rsidP="00294C6F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AAB8FA" w14:textId="04065377" w:rsidR="00443A1D" w:rsidRPr="00E67605" w:rsidRDefault="00500F62" w:rsidP="00294C6F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7605">
              <w:rPr>
                <w:rFonts w:ascii="Arial Narrow" w:hAnsi="Arial Narrow"/>
                <w:b/>
                <w:sz w:val="20"/>
                <w:szCs w:val="20"/>
              </w:rPr>
              <w:t>Néstor Alejandro Gómez Guerrero</w:t>
            </w:r>
          </w:p>
          <w:p w14:paraId="1789EA9B" w14:textId="77777777" w:rsidR="00443A1D" w:rsidRDefault="00E67605" w:rsidP="00294C6F">
            <w:pPr>
              <w:pStyle w:val="Sinespaciado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E67605">
              <w:rPr>
                <w:rFonts w:ascii="Arial Narrow" w:hAnsi="Arial Narrow"/>
                <w:snapToGrid w:val="0"/>
                <w:sz w:val="18"/>
                <w:szCs w:val="18"/>
              </w:rPr>
              <w:t>Subdirector de Estudios Ambientales (E)</w:t>
            </w:r>
          </w:p>
          <w:p w14:paraId="7587158D" w14:textId="6DBD704B" w:rsidR="00E67605" w:rsidRPr="00E67605" w:rsidRDefault="00E67605" w:rsidP="00294C6F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pct"/>
          </w:tcPr>
          <w:p w14:paraId="5A52AE0B" w14:textId="77777777" w:rsidR="00443A1D" w:rsidRPr="00E970DC" w:rsidRDefault="00443A1D" w:rsidP="00294C6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970DC">
              <w:rPr>
                <w:rFonts w:ascii="Arial Narrow" w:hAnsi="Arial Narrow" w:cs="Arial"/>
                <w:b/>
              </w:rPr>
              <w:t>REVISÒ:</w:t>
            </w:r>
          </w:p>
          <w:p w14:paraId="431F4374" w14:textId="77777777" w:rsidR="00E67605" w:rsidRDefault="00E67605" w:rsidP="00E67605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216B8A97" w14:textId="77777777" w:rsidR="00E67605" w:rsidRDefault="00E67605" w:rsidP="00E67605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35B08757" w14:textId="77777777" w:rsidR="00E67605" w:rsidRPr="00E970DC" w:rsidRDefault="00E67605" w:rsidP="00E67605">
            <w:pPr>
              <w:pStyle w:val="Sinespaciado"/>
              <w:rPr>
                <w:rFonts w:ascii="Arial Narrow" w:hAnsi="Arial Narrow"/>
              </w:rPr>
            </w:pPr>
          </w:p>
          <w:p w14:paraId="5044EF31" w14:textId="77777777" w:rsidR="00E67605" w:rsidRDefault="00E67605" w:rsidP="00E6760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991BCA" w14:textId="77777777" w:rsidR="00E67605" w:rsidRPr="00E67605" w:rsidRDefault="00E67605" w:rsidP="00E6760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7605">
              <w:rPr>
                <w:rFonts w:ascii="Arial Narrow" w:hAnsi="Arial Narrow"/>
                <w:b/>
                <w:sz w:val="20"/>
                <w:szCs w:val="20"/>
              </w:rPr>
              <w:t>Néstor Alejandro Gómez Guerrero</w:t>
            </w:r>
          </w:p>
          <w:p w14:paraId="2FD1C0BC" w14:textId="2FCC114A" w:rsidR="00443A1D" w:rsidRPr="00E67605" w:rsidRDefault="00E67605" w:rsidP="00E6760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605">
              <w:rPr>
                <w:rFonts w:ascii="Arial Narrow" w:eastAsia="Calibri" w:hAnsi="Arial Narrow"/>
                <w:snapToGrid w:val="0"/>
                <w:sz w:val="18"/>
                <w:szCs w:val="18"/>
              </w:rPr>
              <w:t>Subdirector de Estudios Ambientales (E)</w:t>
            </w:r>
          </w:p>
        </w:tc>
        <w:tc>
          <w:tcPr>
            <w:tcW w:w="1691" w:type="pct"/>
          </w:tcPr>
          <w:p w14:paraId="1CDBADC9" w14:textId="77777777" w:rsidR="00443A1D" w:rsidRPr="00E970DC" w:rsidRDefault="00443A1D" w:rsidP="00294C6F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970DC">
              <w:rPr>
                <w:rFonts w:ascii="Arial Narrow" w:hAnsi="Arial Narrow" w:cs="Arial"/>
                <w:b/>
              </w:rPr>
              <w:t>APROBÒ:</w:t>
            </w:r>
          </w:p>
          <w:p w14:paraId="6F53A4B0" w14:textId="77777777" w:rsidR="00E67605" w:rsidRDefault="00E67605" w:rsidP="00E67605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76E1ECCB" w14:textId="77777777" w:rsidR="00E67605" w:rsidRDefault="00E67605" w:rsidP="00E67605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5446277F" w14:textId="77777777" w:rsidR="00E67605" w:rsidRPr="00E970DC" w:rsidRDefault="00E67605" w:rsidP="00E67605">
            <w:pPr>
              <w:pStyle w:val="Sinespaciado"/>
              <w:rPr>
                <w:rFonts w:ascii="Arial Narrow" w:hAnsi="Arial Narrow"/>
              </w:rPr>
            </w:pPr>
          </w:p>
          <w:p w14:paraId="226627CD" w14:textId="77777777" w:rsidR="00E67605" w:rsidRDefault="00E67605" w:rsidP="00E6760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411B632" w14:textId="77777777" w:rsidR="00E67605" w:rsidRPr="00E67605" w:rsidRDefault="00E67605" w:rsidP="00E67605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7605">
              <w:rPr>
                <w:rFonts w:ascii="Arial Narrow" w:hAnsi="Arial Narrow"/>
                <w:b/>
                <w:sz w:val="20"/>
                <w:szCs w:val="20"/>
              </w:rPr>
              <w:t>Néstor Alejandro Gómez Guerrero</w:t>
            </w:r>
          </w:p>
          <w:p w14:paraId="1F4B26D1" w14:textId="76876404" w:rsidR="00443A1D" w:rsidRPr="00E67605" w:rsidRDefault="00E67605" w:rsidP="00E6760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605">
              <w:rPr>
                <w:rFonts w:ascii="Arial Narrow" w:eastAsia="Calibri" w:hAnsi="Arial Narrow"/>
                <w:snapToGrid w:val="0"/>
                <w:sz w:val="18"/>
                <w:szCs w:val="18"/>
              </w:rPr>
              <w:t>Subdirector de Estudios Ambientales (E)</w:t>
            </w:r>
          </w:p>
        </w:tc>
      </w:tr>
    </w:tbl>
    <w:p w14:paraId="6BB5B344" w14:textId="77777777" w:rsidR="00443A1D" w:rsidRPr="00443A1D" w:rsidRDefault="00443A1D" w:rsidP="00443A1D">
      <w:pPr>
        <w:jc w:val="both"/>
        <w:rPr>
          <w:rFonts w:ascii="Arial Narrow" w:hAnsi="Arial Narrow"/>
          <w:snapToGrid w:val="0"/>
          <w:sz w:val="20"/>
          <w:szCs w:val="22"/>
        </w:rPr>
      </w:pPr>
    </w:p>
    <w:sectPr w:rsidR="00443A1D" w:rsidRPr="00443A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22D1" w14:textId="77777777" w:rsidR="00EB5C3C" w:rsidRDefault="00EB5C3C">
      <w:r>
        <w:separator/>
      </w:r>
    </w:p>
  </w:endnote>
  <w:endnote w:type="continuationSeparator" w:id="0">
    <w:p w14:paraId="39B27779" w14:textId="77777777" w:rsidR="00EB5C3C" w:rsidRDefault="00EB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3599" w14:textId="77777777" w:rsidR="00EB5C3C" w:rsidRDefault="00EB5C3C">
      <w:r>
        <w:separator/>
      </w:r>
    </w:p>
  </w:footnote>
  <w:footnote w:type="continuationSeparator" w:id="0">
    <w:p w14:paraId="2089695F" w14:textId="77777777" w:rsidR="00EB5C3C" w:rsidRDefault="00EB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4002"/>
      <w:gridCol w:w="2314"/>
    </w:tblGrid>
    <w:tr w:rsidR="007A6F61" w:rsidRPr="00443A1D" w14:paraId="6E970CC3" w14:textId="77777777" w:rsidTr="00443A1D">
      <w:trPr>
        <w:trHeight w:val="268"/>
        <w:jc w:val="center"/>
      </w:trPr>
      <w:tc>
        <w:tcPr>
          <w:tcW w:w="1282" w:type="pct"/>
          <w:vMerge w:val="restart"/>
        </w:tcPr>
        <w:p w14:paraId="38C77E47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9C7C6B8" wp14:editId="101F5C69">
                <wp:simplePos x="0" y="0"/>
                <wp:positionH relativeFrom="column">
                  <wp:posOffset>22225</wp:posOffset>
                </wp:positionH>
                <wp:positionV relativeFrom="paragraph">
                  <wp:posOffset>115570</wp:posOffset>
                </wp:positionV>
                <wp:extent cx="1248410" cy="610235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56" w:type="pct"/>
          <w:vMerge w:val="restart"/>
          <w:vAlign w:val="center"/>
        </w:tcPr>
        <w:p w14:paraId="58443206" w14:textId="77777777" w:rsidR="007A6F61" w:rsidRPr="00443A1D" w:rsidRDefault="007A6F61" w:rsidP="00B74EEE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s-CO" w:eastAsia="en-US"/>
            </w:rPr>
          </w:pPr>
          <w:r>
            <w:rPr>
              <w:rFonts w:ascii="Arial Narrow" w:hAnsi="Arial Narrow"/>
              <w:b/>
            </w:rPr>
            <w:t>CÓDIGO DE ÉTICA PARA AUDITORES DEL GRUPO DE ACREDITACIÓN DEL IDEAM</w:t>
          </w:r>
        </w:p>
      </w:tc>
      <w:tc>
        <w:tcPr>
          <w:tcW w:w="1362" w:type="pct"/>
          <w:vAlign w:val="center"/>
        </w:tcPr>
        <w:p w14:paraId="4B3FEDEA" w14:textId="59B084BA" w:rsidR="007A6F61" w:rsidRPr="00443A1D" w:rsidRDefault="007A6F61" w:rsidP="00500F62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 Narrow" w:eastAsia="Calibri" w:hAnsi="Arial Narrow"/>
              <w:b/>
              <w:lang w:val="es-CO" w:eastAsia="en-US"/>
            </w:rPr>
          </w:pPr>
          <w:r w:rsidRPr="00443A1D">
            <w:rPr>
              <w:rFonts w:ascii="Arial Narrow" w:eastAsia="Calibri" w:hAnsi="Arial Narrow"/>
              <w:b/>
              <w:lang w:val="es-CO" w:eastAsia="en-US"/>
            </w:rPr>
            <w:t xml:space="preserve">Código: </w:t>
          </w:r>
          <w:r w:rsidR="00E67605">
            <w:rPr>
              <w:rFonts w:ascii="Arial Narrow" w:eastAsia="Calibri" w:hAnsi="Arial Narrow"/>
              <w:sz w:val="22"/>
              <w:lang w:val="es-CO" w:eastAsia="en-US"/>
            </w:rPr>
            <w:t>E-SGI-AC-F015</w:t>
          </w:r>
        </w:p>
      </w:tc>
    </w:tr>
    <w:tr w:rsidR="007A6F61" w:rsidRPr="00443A1D" w14:paraId="6ED548A8" w14:textId="77777777" w:rsidTr="00443A1D">
      <w:trPr>
        <w:trHeight w:val="272"/>
        <w:jc w:val="center"/>
      </w:trPr>
      <w:tc>
        <w:tcPr>
          <w:tcW w:w="1282" w:type="pct"/>
          <w:vMerge/>
        </w:tcPr>
        <w:p w14:paraId="33D17E1D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</w:p>
      </w:tc>
      <w:tc>
        <w:tcPr>
          <w:tcW w:w="2356" w:type="pct"/>
          <w:vMerge/>
        </w:tcPr>
        <w:p w14:paraId="06E00052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</w:p>
      </w:tc>
      <w:tc>
        <w:tcPr>
          <w:tcW w:w="1362" w:type="pct"/>
          <w:vAlign w:val="center"/>
        </w:tcPr>
        <w:p w14:paraId="5A78FED6" w14:textId="77777777" w:rsidR="007A6F61" w:rsidRPr="00443A1D" w:rsidRDefault="007A6F61" w:rsidP="00953C53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 Narrow" w:eastAsia="Calibri" w:hAnsi="Arial Narrow"/>
              <w:b/>
              <w:lang w:val="es-CO" w:eastAsia="en-US"/>
            </w:rPr>
          </w:pPr>
          <w:r w:rsidRPr="00443A1D">
            <w:rPr>
              <w:rFonts w:ascii="Arial Narrow" w:eastAsia="Calibri" w:hAnsi="Arial Narrow"/>
              <w:b/>
              <w:lang w:val="es-CO" w:eastAsia="en-US"/>
            </w:rPr>
            <w:t xml:space="preserve">Versión: </w:t>
          </w:r>
          <w:r w:rsidRPr="00443A1D">
            <w:rPr>
              <w:rFonts w:ascii="Arial Narrow" w:eastAsia="Calibri" w:hAnsi="Arial Narrow"/>
              <w:lang w:val="es-CO" w:eastAsia="en-US"/>
            </w:rPr>
            <w:t>01</w:t>
          </w:r>
        </w:p>
      </w:tc>
    </w:tr>
    <w:tr w:rsidR="007A6F61" w:rsidRPr="00443A1D" w14:paraId="2E84ADC7" w14:textId="77777777" w:rsidTr="00443A1D">
      <w:trPr>
        <w:trHeight w:val="276"/>
        <w:jc w:val="center"/>
      </w:trPr>
      <w:tc>
        <w:tcPr>
          <w:tcW w:w="1282" w:type="pct"/>
          <w:vMerge/>
        </w:tcPr>
        <w:p w14:paraId="07514AF9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</w:p>
      </w:tc>
      <w:tc>
        <w:tcPr>
          <w:tcW w:w="2356" w:type="pct"/>
          <w:vMerge/>
        </w:tcPr>
        <w:p w14:paraId="54B5E256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</w:p>
      </w:tc>
      <w:tc>
        <w:tcPr>
          <w:tcW w:w="1362" w:type="pct"/>
          <w:vAlign w:val="center"/>
        </w:tcPr>
        <w:p w14:paraId="60B8D9B4" w14:textId="02D77F8D" w:rsidR="007A6F61" w:rsidRPr="00443A1D" w:rsidRDefault="007A6F61" w:rsidP="00500F62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 Narrow" w:eastAsia="Calibri" w:hAnsi="Arial Narrow"/>
              <w:b/>
              <w:lang w:val="es-CO" w:eastAsia="en-US"/>
            </w:rPr>
          </w:pPr>
          <w:r w:rsidRPr="00443A1D">
            <w:rPr>
              <w:rFonts w:ascii="Arial Narrow" w:eastAsia="Calibri" w:hAnsi="Arial Narrow"/>
              <w:b/>
              <w:lang w:val="es-CO" w:eastAsia="en-US"/>
            </w:rPr>
            <w:t xml:space="preserve">Fecha: </w:t>
          </w:r>
          <w:r w:rsidR="00704658" w:rsidRPr="00704658">
            <w:rPr>
              <w:rFonts w:ascii="Arial Narrow" w:eastAsia="Calibri" w:hAnsi="Arial Narrow"/>
              <w:lang w:val="es-CO" w:eastAsia="en-US"/>
            </w:rPr>
            <w:t>20/09/2017</w:t>
          </w:r>
        </w:p>
      </w:tc>
    </w:tr>
    <w:tr w:rsidR="007A6F61" w:rsidRPr="00443A1D" w14:paraId="11AFA52D" w14:textId="77777777" w:rsidTr="00443A1D">
      <w:trPr>
        <w:jc w:val="center"/>
      </w:trPr>
      <w:tc>
        <w:tcPr>
          <w:tcW w:w="1282" w:type="pct"/>
          <w:vMerge/>
        </w:tcPr>
        <w:p w14:paraId="330B6789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</w:p>
      </w:tc>
      <w:tc>
        <w:tcPr>
          <w:tcW w:w="2356" w:type="pct"/>
          <w:vMerge/>
        </w:tcPr>
        <w:p w14:paraId="578FCE1B" w14:textId="77777777" w:rsidR="007A6F61" w:rsidRPr="00443A1D" w:rsidRDefault="007A6F61" w:rsidP="00E143B5">
          <w:pPr>
            <w:pStyle w:val="Encabezado"/>
            <w:rPr>
              <w:rFonts w:ascii="Arial Narrow" w:hAnsi="Arial Narrow"/>
            </w:rPr>
          </w:pPr>
        </w:p>
      </w:tc>
      <w:tc>
        <w:tcPr>
          <w:tcW w:w="1362" w:type="pct"/>
          <w:vAlign w:val="center"/>
        </w:tcPr>
        <w:p w14:paraId="42E2CBC2" w14:textId="016A2446" w:rsidR="007A6F61" w:rsidRPr="00443A1D" w:rsidRDefault="007A6F61" w:rsidP="00953C53">
          <w:pPr>
            <w:rPr>
              <w:rFonts w:ascii="Arial Narrow" w:eastAsia="Calibri" w:hAnsi="Arial Narrow"/>
              <w:b/>
              <w:lang w:val="es-CO" w:eastAsia="en-US"/>
            </w:rPr>
          </w:pPr>
          <w:r w:rsidRPr="00443A1D">
            <w:rPr>
              <w:rFonts w:ascii="Arial Narrow" w:eastAsia="Calibri" w:hAnsi="Arial Narrow"/>
              <w:b/>
              <w:lang w:val="es-CO" w:eastAsia="en-US"/>
            </w:rPr>
            <w:t xml:space="preserve">Página: </w:t>
          </w:r>
          <w:r w:rsidRPr="00443A1D">
            <w:rPr>
              <w:rFonts w:ascii="Arial Narrow" w:eastAsia="Calibri" w:hAnsi="Arial Narrow"/>
              <w:lang w:val="es-CO" w:eastAsia="en-US"/>
            </w:rPr>
            <w:fldChar w:fldCharType="begin"/>
          </w:r>
          <w:r w:rsidRPr="00443A1D">
            <w:rPr>
              <w:rFonts w:ascii="Arial Narrow" w:eastAsia="Calibri" w:hAnsi="Arial Narrow"/>
              <w:lang w:val="es-CO" w:eastAsia="en-US"/>
            </w:rPr>
            <w:instrText xml:space="preserve"> PAGE </w:instrText>
          </w:r>
          <w:r w:rsidRPr="00443A1D">
            <w:rPr>
              <w:rFonts w:ascii="Arial Narrow" w:eastAsia="Calibri" w:hAnsi="Arial Narrow"/>
              <w:lang w:val="es-CO" w:eastAsia="en-US"/>
            </w:rPr>
            <w:fldChar w:fldCharType="separate"/>
          </w:r>
          <w:r w:rsidR="009A3EBB">
            <w:rPr>
              <w:rFonts w:ascii="Arial Narrow" w:eastAsia="Calibri" w:hAnsi="Arial Narrow"/>
              <w:noProof/>
              <w:lang w:val="es-CO" w:eastAsia="en-US"/>
            </w:rPr>
            <w:t>1</w:t>
          </w:r>
          <w:r w:rsidRPr="00443A1D">
            <w:rPr>
              <w:rFonts w:ascii="Arial Narrow" w:eastAsia="Calibri" w:hAnsi="Arial Narrow"/>
              <w:lang w:val="es-CO" w:eastAsia="en-US"/>
            </w:rPr>
            <w:fldChar w:fldCharType="end"/>
          </w:r>
          <w:r w:rsidRPr="00443A1D">
            <w:rPr>
              <w:rFonts w:ascii="Arial Narrow" w:eastAsia="Calibri" w:hAnsi="Arial Narrow"/>
              <w:lang w:val="es-CO" w:eastAsia="en-US"/>
            </w:rPr>
            <w:t xml:space="preserve"> de </w:t>
          </w:r>
          <w:r w:rsidRPr="00443A1D">
            <w:rPr>
              <w:rFonts w:ascii="Arial Narrow" w:eastAsia="Calibri" w:hAnsi="Arial Narrow"/>
              <w:lang w:val="es-CO" w:eastAsia="en-US"/>
            </w:rPr>
            <w:fldChar w:fldCharType="begin"/>
          </w:r>
          <w:r w:rsidRPr="00443A1D">
            <w:rPr>
              <w:rFonts w:ascii="Arial Narrow" w:eastAsia="Calibri" w:hAnsi="Arial Narrow"/>
              <w:lang w:val="es-CO" w:eastAsia="en-US"/>
            </w:rPr>
            <w:instrText xml:space="preserve"> NUMPAGES  </w:instrText>
          </w:r>
          <w:r w:rsidRPr="00443A1D">
            <w:rPr>
              <w:rFonts w:ascii="Arial Narrow" w:eastAsia="Calibri" w:hAnsi="Arial Narrow"/>
              <w:lang w:val="es-CO" w:eastAsia="en-US"/>
            </w:rPr>
            <w:fldChar w:fldCharType="separate"/>
          </w:r>
          <w:r w:rsidR="009A3EBB">
            <w:rPr>
              <w:rFonts w:ascii="Arial Narrow" w:eastAsia="Calibri" w:hAnsi="Arial Narrow"/>
              <w:noProof/>
              <w:lang w:val="es-CO" w:eastAsia="en-US"/>
            </w:rPr>
            <w:t>5</w:t>
          </w:r>
          <w:r w:rsidRPr="00443A1D">
            <w:rPr>
              <w:rFonts w:ascii="Arial Narrow" w:eastAsia="Calibri" w:hAnsi="Arial Narrow"/>
              <w:lang w:val="es-CO" w:eastAsia="en-US"/>
            </w:rPr>
            <w:fldChar w:fldCharType="end"/>
          </w:r>
        </w:p>
      </w:tc>
    </w:tr>
  </w:tbl>
  <w:p w14:paraId="1A605EB4" w14:textId="77777777" w:rsidR="007A6F61" w:rsidRDefault="007A6F61" w:rsidP="00994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463"/>
    <w:multiLevelType w:val="hybridMultilevel"/>
    <w:tmpl w:val="56A66EFE"/>
    <w:lvl w:ilvl="0" w:tplc="EB6E8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E43A3"/>
    <w:multiLevelType w:val="hybridMultilevel"/>
    <w:tmpl w:val="A35806E8"/>
    <w:lvl w:ilvl="0" w:tplc="82C4273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7175"/>
    <w:multiLevelType w:val="hybridMultilevel"/>
    <w:tmpl w:val="9E8250D2"/>
    <w:lvl w:ilvl="0" w:tplc="A1A25C98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67EDF"/>
    <w:multiLevelType w:val="hybridMultilevel"/>
    <w:tmpl w:val="7D14CCD0"/>
    <w:lvl w:ilvl="0" w:tplc="39DCFE5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9E7"/>
    <w:multiLevelType w:val="hybridMultilevel"/>
    <w:tmpl w:val="80DCE70C"/>
    <w:lvl w:ilvl="0" w:tplc="58ECD874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068E"/>
    <w:multiLevelType w:val="hybridMultilevel"/>
    <w:tmpl w:val="E4B69DD8"/>
    <w:lvl w:ilvl="0" w:tplc="BBA6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0C9"/>
    <w:multiLevelType w:val="hybridMultilevel"/>
    <w:tmpl w:val="65E21FC6"/>
    <w:lvl w:ilvl="0" w:tplc="4D623D6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4033E92"/>
    <w:multiLevelType w:val="hybridMultilevel"/>
    <w:tmpl w:val="5E58E358"/>
    <w:lvl w:ilvl="0" w:tplc="4ECC77F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679C1"/>
    <w:multiLevelType w:val="hybridMultilevel"/>
    <w:tmpl w:val="AE3E1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21353"/>
    <w:rsid w:val="00021C79"/>
    <w:rsid w:val="000434A8"/>
    <w:rsid w:val="0006445A"/>
    <w:rsid w:val="000A1541"/>
    <w:rsid w:val="000A5841"/>
    <w:rsid w:val="000B019B"/>
    <w:rsid w:val="000B4A61"/>
    <w:rsid w:val="000F5AA5"/>
    <w:rsid w:val="000F710C"/>
    <w:rsid w:val="001127F7"/>
    <w:rsid w:val="00113201"/>
    <w:rsid w:val="00126B53"/>
    <w:rsid w:val="001338C5"/>
    <w:rsid w:val="0014367A"/>
    <w:rsid w:val="0014569B"/>
    <w:rsid w:val="00153F18"/>
    <w:rsid w:val="00154A9C"/>
    <w:rsid w:val="00165A5D"/>
    <w:rsid w:val="00187F20"/>
    <w:rsid w:val="001B6510"/>
    <w:rsid w:val="001C14CE"/>
    <w:rsid w:val="001C1F4F"/>
    <w:rsid w:val="001C2F62"/>
    <w:rsid w:val="001C5858"/>
    <w:rsid w:val="001C5E43"/>
    <w:rsid w:val="001E66B9"/>
    <w:rsid w:val="001F44C8"/>
    <w:rsid w:val="00200078"/>
    <w:rsid w:val="00206868"/>
    <w:rsid w:val="00221132"/>
    <w:rsid w:val="00262E89"/>
    <w:rsid w:val="00266210"/>
    <w:rsid w:val="00275512"/>
    <w:rsid w:val="002857D1"/>
    <w:rsid w:val="00294C6F"/>
    <w:rsid w:val="002B2215"/>
    <w:rsid w:val="002B53AD"/>
    <w:rsid w:val="002D236A"/>
    <w:rsid w:val="002D50C1"/>
    <w:rsid w:val="002F10BF"/>
    <w:rsid w:val="002F4EB7"/>
    <w:rsid w:val="002F69A2"/>
    <w:rsid w:val="002F6EED"/>
    <w:rsid w:val="002F7CC9"/>
    <w:rsid w:val="0030622D"/>
    <w:rsid w:val="00312DAE"/>
    <w:rsid w:val="00316774"/>
    <w:rsid w:val="003221C3"/>
    <w:rsid w:val="00332793"/>
    <w:rsid w:val="00342F80"/>
    <w:rsid w:val="00352DD0"/>
    <w:rsid w:val="003712EE"/>
    <w:rsid w:val="00381711"/>
    <w:rsid w:val="003918F8"/>
    <w:rsid w:val="003B2365"/>
    <w:rsid w:val="003E2334"/>
    <w:rsid w:val="003E3522"/>
    <w:rsid w:val="003F2989"/>
    <w:rsid w:val="00410A19"/>
    <w:rsid w:val="00423E7F"/>
    <w:rsid w:val="0042639E"/>
    <w:rsid w:val="00435517"/>
    <w:rsid w:val="0043777E"/>
    <w:rsid w:val="00443A1D"/>
    <w:rsid w:val="0045693D"/>
    <w:rsid w:val="00461255"/>
    <w:rsid w:val="00470E7D"/>
    <w:rsid w:val="00472667"/>
    <w:rsid w:val="00476C1D"/>
    <w:rsid w:val="0048298D"/>
    <w:rsid w:val="004875BA"/>
    <w:rsid w:val="004B1800"/>
    <w:rsid w:val="004C5FE3"/>
    <w:rsid w:val="004D6DF2"/>
    <w:rsid w:val="004F138B"/>
    <w:rsid w:val="00500F62"/>
    <w:rsid w:val="00506899"/>
    <w:rsid w:val="00513C8E"/>
    <w:rsid w:val="00521DE4"/>
    <w:rsid w:val="00525CD0"/>
    <w:rsid w:val="00537298"/>
    <w:rsid w:val="00547D69"/>
    <w:rsid w:val="00575BAA"/>
    <w:rsid w:val="00584755"/>
    <w:rsid w:val="00596E21"/>
    <w:rsid w:val="005A1BF7"/>
    <w:rsid w:val="005B3586"/>
    <w:rsid w:val="005E3868"/>
    <w:rsid w:val="005F4996"/>
    <w:rsid w:val="00600AEE"/>
    <w:rsid w:val="00607CC2"/>
    <w:rsid w:val="006117D6"/>
    <w:rsid w:val="0062651F"/>
    <w:rsid w:val="0062680C"/>
    <w:rsid w:val="00645ABA"/>
    <w:rsid w:val="00650932"/>
    <w:rsid w:val="00653038"/>
    <w:rsid w:val="00663D34"/>
    <w:rsid w:val="00670502"/>
    <w:rsid w:val="006825AA"/>
    <w:rsid w:val="00690104"/>
    <w:rsid w:val="006A03C8"/>
    <w:rsid w:val="006A058D"/>
    <w:rsid w:val="006B74A7"/>
    <w:rsid w:val="006D44CF"/>
    <w:rsid w:val="006D470E"/>
    <w:rsid w:val="006D53FF"/>
    <w:rsid w:val="006F70DA"/>
    <w:rsid w:val="00704658"/>
    <w:rsid w:val="00734D90"/>
    <w:rsid w:val="00750CF3"/>
    <w:rsid w:val="00755E16"/>
    <w:rsid w:val="00773B1B"/>
    <w:rsid w:val="00792AF5"/>
    <w:rsid w:val="00793224"/>
    <w:rsid w:val="00796CBC"/>
    <w:rsid w:val="007A6F61"/>
    <w:rsid w:val="007D0560"/>
    <w:rsid w:val="007D14CB"/>
    <w:rsid w:val="007D16BC"/>
    <w:rsid w:val="007D392F"/>
    <w:rsid w:val="007E4624"/>
    <w:rsid w:val="00821040"/>
    <w:rsid w:val="00830261"/>
    <w:rsid w:val="00834E70"/>
    <w:rsid w:val="00844667"/>
    <w:rsid w:val="00850E77"/>
    <w:rsid w:val="00877B14"/>
    <w:rsid w:val="008B31F1"/>
    <w:rsid w:val="008B5D18"/>
    <w:rsid w:val="008C65B3"/>
    <w:rsid w:val="008D1FF2"/>
    <w:rsid w:val="008D62E1"/>
    <w:rsid w:val="008E3CC0"/>
    <w:rsid w:val="008E498D"/>
    <w:rsid w:val="00901172"/>
    <w:rsid w:val="009045BC"/>
    <w:rsid w:val="00920595"/>
    <w:rsid w:val="009350E9"/>
    <w:rsid w:val="00953C53"/>
    <w:rsid w:val="009851BB"/>
    <w:rsid w:val="0098630D"/>
    <w:rsid w:val="00986325"/>
    <w:rsid w:val="009945DA"/>
    <w:rsid w:val="009A1D06"/>
    <w:rsid w:val="009A3EBB"/>
    <w:rsid w:val="009A45BB"/>
    <w:rsid w:val="009C5C1B"/>
    <w:rsid w:val="00A047DC"/>
    <w:rsid w:val="00A06807"/>
    <w:rsid w:val="00A15D61"/>
    <w:rsid w:val="00A31F67"/>
    <w:rsid w:val="00A4597D"/>
    <w:rsid w:val="00A47031"/>
    <w:rsid w:val="00A6222C"/>
    <w:rsid w:val="00A77318"/>
    <w:rsid w:val="00A83CB9"/>
    <w:rsid w:val="00A85498"/>
    <w:rsid w:val="00A916CF"/>
    <w:rsid w:val="00AA7DAA"/>
    <w:rsid w:val="00AB55F2"/>
    <w:rsid w:val="00AB785B"/>
    <w:rsid w:val="00AC5B27"/>
    <w:rsid w:val="00AD3FAE"/>
    <w:rsid w:val="00AE2189"/>
    <w:rsid w:val="00AE6CE1"/>
    <w:rsid w:val="00AE7D96"/>
    <w:rsid w:val="00AF2649"/>
    <w:rsid w:val="00AF4B57"/>
    <w:rsid w:val="00AF7AED"/>
    <w:rsid w:val="00B0722E"/>
    <w:rsid w:val="00B20B3C"/>
    <w:rsid w:val="00B447F9"/>
    <w:rsid w:val="00B62EF4"/>
    <w:rsid w:val="00B72646"/>
    <w:rsid w:val="00B74EEE"/>
    <w:rsid w:val="00B801DF"/>
    <w:rsid w:val="00B86029"/>
    <w:rsid w:val="00BA3D35"/>
    <w:rsid w:val="00BD0C49"/>
    <w:rsid w:val="00BD4052"/>
    <w:rsid w:val="00BE4289"/>
    <w:rsid w:val="00BE7806"/>
    <w:rsid w:val="00BF69C1"/>
    <w:rsid w:val="00C05DDC"/>
    <w:rsid w:val="00C228B3"/>
    <w:rsid w:val="00C347C3"/>
    <w:rsid w:val="00C401E2"/>
    <w:rsid w:val="00C55160"/>
    <w:rsid w:val="00C568E5"/>
    <w:rsid w:val="00C74461"/>
    <w:rsid w:val="00C867B0"/>
    <w:rsid w:val="00CE2EDF"/>
    <w:rsid w:val="00D12F2B"/>
    <w:rsid w:val="00D155D9"/>
    <w:rsid w:val="00D16274"/>
    <w:rsid w:val="00D2303F"/>
    <w:rsid w:val="00D3770B"/>
    <w:rsid w:val="00D423C9"/>
    <w:rsid w:val="00D60F17"/>
    <w:rsid w:val="00D64DC9"/>
    <w:rsid w:val="00D67411"/>
    <w:rsid w:val="00D7213F"/>
    <w:rsid w:val="00D728AB"/>
    <w:rsid w:val="00D860EA"/>
    <w:rsid w:val="00D91736"/>
    <w:rsid w:val="00D96E1E"/>
    <w:rsid w:val="00D96F1D"/>
    <w:rsid w:val="00D97751"/>
    <w:rsid w:val="00DA630D"/>
    <w:rsid w:val="00DB304A"/>
    <w:rsid w:val="00DD6070"/>
    <w:rsid w:val="00DD7BFD"/>
    <w:rsid w:val="00DE3BC0"/>
    <w:rsid w:val="00DE7A38"/>
    <w:rsid w:val="00DF438C"/>
    <w:rsid w:val="00DF603B"/>
    <w:rsid w:val="00DF6F34"/>
    <w:rsid w:val="00E143B5"/>
    <w:rsid w:val="00E17E72"/>
    <w:rsid w:val="00E21645"/>
    <w:rsid w:val="00E273D0"/>
    <w:rsid w:val="00E3296D"/>
    <w:rsid w:val="00E348A4"/>
    <w:rsid w:val="00E35269"/>
    <w:rsid w:val="00E67605"/>
    <w:rsid w:val="00E71D00"/>
    <w:rsid w:val="00E72B6D"/>
    <w:rsid w:val="00E73962"/>
    <w:rsid w:val="00E775FB"/>
    <w:rsid w:val="00E81DA9"/>
    <w:rsid w:val="00E87ABF"/>
    <w:rsid w:val="00EA42E1"/>
    <w:rsid w:val="00EB5C3C"/>
    <w:rsid w:val="00EC2C63"/>
    <w:rsid w:val="00EC4359"/>
    <w:rsid w:val="00EC76F9"/>
    <w:rsid w:val="00ED0960"/>
    <w:rsid w:val="00ED4FE3"/>
    <w:rsid w:val="00ED5D78"/>
    <w:rsid w:val="00EE2DDD"/>
    <w:rsid w:val="00EE336B"/>
    <w:rsid w:val="00EF22FB"/>
    <w:rsid w:val="00EF5A24"/>
    <w:rsid w:val="00EF7F01"/>
    <w:rsid w:val="00F1583E"/>
    <w:rsid w:val="00F35C82"/>
    <w:rsid w:val="00F4579A"/>
    <w:rsid w:val="00F70EC0"/>
    <w:rsid w:val="00F8124C"/>
    <w:rsid w:val="00FB4216"/>
    <w:rsid w:val="00FC07B4"/>
    <w:rsid w:val="00FD4E64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76C4"/>
  <w15:docId w15:val="{C16B28E8-03A2-452D-B91C-DB90700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F69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rsid w:val="008D1FF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8E498D"/>
    <w:pPr>
      <w:ind w:left="567" w:hanging="567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8E498D"/>
    <w:rPr>
      <w:rFonts w:ascii="Arial" w:hAnsi="Arial"/>
      <w:sz w:val="24"/>
      <w:lang w:val="es-ES" w:eastAsia="es-ES"/>
    </w:rPr>
  </w:style>
  <w:style w:type="paragraph" w:styleId="Puesto">
    <w:name w:val="Title"/>
    <w:basedOn w:val="Normal"/>
    <w:link w:val="PuestoCar"/>
    <w:qFormat/>
    <w:rsid w:val="008E498D"/>
    <w:pPr>
      <w:spacing w:after="120"/>
      <w:jc w:val="center"/>
    </w:pPr>
    <w:rPr>
      <w:rFonts w:ascii="Arial" w:hAnsi="Arial"/>
      <w:b/>
      <w:szCs w:val="20"/>
    </w:rPr>
  </w:style>
  <w:style w:type="character" w:customStyle="1" w:styleId="PuestoCar">
    <w:name w:val="Puesto Car"/>
    <w:link w:val="Puesto"/>
    <w:rsid w:val="008E498D"/>
    <w:rPr>
      <w:rFonts w:ascii="Arial" w:hAnsi="Arial"/>
      <w:b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62E8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712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712E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5D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94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semiHidden/>
    <w:rsid w:val="002F69A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2F69A2"/>
    <w:pPr>
      <w:spacing w:after="120"/>
    </w:pPr>
  </w:style>
  <w:style w:type="character" w:customStyle="1" w:styleId="TextoindependienteCar">
    <w:name w:val="Texto independiente Car"/>
    <w:link w:val="Textoindependiente"/>
    <w:rsid w:val="002F69A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875BA"/>
    <w:pPr>
      <w:ind w:left="708"/>
    </w:pPr>
  </w:style>
  <w:style w:type="paragraph" w:styleId="Sinespaciado">
    <w:name w:val="No Spacing"/>
    <w:uiPriority w:val="1"/>
    <w:qFormat/>
    <w:rsid w:val="00443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2326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Sirley Johana Corredor Monsalve</cp:lastModifiedBy>
  <cp:revision>2</cp:revision>
  <cp:lastPrinted>2016-03-15T20:30:00Z</cp:lastPrinted>
  <dcterms:created xsi:type="dcterms:W3CDTF">2018-11-27T22:10:00Z</dcterms:created>
  <dcterms:modified xsi:type="dcterms:W3CDTF">2018-11-27T22:10:00Z</dcterms:modified>
</cp:coreProperties>
</file>